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1B1952">
            <w:pPr>
              <w:spacing w:before="120"/>
              <w:jc w:val="right"/>
              <w:rPr>
                <w:rFonts w:eastAsia="Times New Roman"/>
                <w:szCs w:val="24"/>
                <w:lang w:eastAsia="ru-RU"/>
              </w:rPr>
            </w:pPr>
            <w:r w:rsidRPr="00450C44">
              <w:rPr>
                <w:rFonts w:eastAsia="Times New Roman"/>
                <w:szCs w:val="24"/>
                <w:lang w:eastAsia="ru-RU"/>
              </w:rPr>
              <w:t xml:space="preserve">Протокол  № </w:t>
            </w:r>
            <w:r w:rsidR="001B1952">
              <w:rPr>
                <w:rFonts w:eastAsia="Times New Roman"/>
                <w:szCs w:val="24"/>
                <w:lang w:eastAsia="ru-RU"/>
              </w:rPr>
              <w:t>139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425FFB">
            <w:pPr>
              <w:spacing w:before="120"/>
              <w:jc w:val="right"/>
              <w:rPr>
                <w:rFonts w:eastAsia="Times New Roman"/>
                <w:szCs w:val="24"/>
                <w:lang w:eastAsia="ru-RU"/>
              </w:rPr>
            </w:pPr>
            <w:r w:rsidRPr="00450C44">
              <w:rPr>
                <w:rFonts w:eastAsia="Times New Roman"/>
                <w:szCs w:val="24"/>
                <w:lang w:eastAsia="ru-RU"/>
              </w:rPr>
              <w:t>«</w:t>
            </w:r>
            <w:r w:rsidR="00425FFB">
              <w:rPr>
                <w:rFonts w:eastAsia="Times New Roman"/>
                <w:szCs w:val="24"/>
                <w:lang w:eastAsia="ru-RU"/>
              </w:rPr>
              <w:t>1</w:t>
            </w:r>
            <w:r w:rsidRPr="00450C44">
              <w:rPr>
                <w:rFonts w:eastAsia="Times New Roman"/>
                <w:szCs w:val="24"/>
                <w:lang w:eastAsia="ru-RU"/>
              </w:rPr>
              <w:t xml:space="preserve">» </w:t>
            </w:r>
            <w:r w:rsidR="00425FFB">
              <w:rPr>
                <w:rFonts w:eastAsia="Times New Roman"/>
                <w:szCs w:val="24"/>
                <w:lang w:eastAsia="ru-RU"/>
              </w:rPr>
              <w:t>сентября 2017</w:t>
            </w:r>
            <w:r w:rsidRPr="00450C44">
              <w:rPr>
                <w:rFonts w:eastAsia="Times New Roman"/>
                <w:szCs w:val="24"/>
                <w:lang w:eastAsia="ru-RU"/>
              </w:rPr>
              <w:t xml:space="preserve"> г.</w:t>
            </w:r>
          </w:p>
        </w:tc>
      </w:tr>
    </w:tbl>
    <w:p w:rsidR="00D642F8" w:rsidRPr="00D024C5" w:rsidRDefault="00AF46BB" w:rsidP="00D642F8">
      <w:pPr>
        <w:ind w:firstLine="708"/>
        <w:jc w:val="both"/>
      </w:pPr>
      <w:r>
        <w:t>П</w:t>
      </w:r>
      <w:r w:rsidR="00D642F8" w:rsidRPr="00D024C5">
        <w:t xml:space="preserve">ДО № </w:t>
      </w:r>
      <w:r w:rsidR="00425FFB">
        <w:t>400-СС-2017</w:t>
      </w:r>
    </w:p>
    <w:p w:rsidR="00D642F8" w:rsidRPr="00D024C5" w:rsidRDefault="00D642F8" w:rsidP="00D642F8">
      <w:pPr>
        <w:ind w:firstLine="708"/>
        <w:jc w:val="both"/>
      </w:pPr>
      <w:r w:rsidRPr="00D024C5">
        <w:t>От  «</w:t>
      </w:r>
      <w:r w:rsidR="00425FFB">
        <w:t>1</w:t>
      </w:r>
      <w:r w:rsidRPr="00D024C5">
        <w:t xml:space="preserve">» </w:t>
      </w:r>
      <w:r w:rsidR="00425FFB">
        <w:t xml:space="preserve">сентября 2017 </w:t>
      </w:r>
      <w:r w:rsidRPr="00D024C5">
        <w:t>г.</w:t>
      </w:r>
    </w:p>
    <w:p w:rsidR="00D642F8" w:rsidRPr="00D024C5" w:rsidRDefault="00D642F8" w:rsidP="00D642F8">
      <w:pPr>
        <w:ind w:firstLine="708"/>
        <w:jc w:val="both"/>
      </w:pPr>
    </w:p>
    <w:p w:rsidR="00D642F8" w:rsidRPr="00FF5258" w:rsidRDefault="00D642F8" w:rsidP="00F30506">
      <w:pPr>
        <w:ind w:firstLine="540"/>
        <w:jc w:val="both"/>
      </w:pPr>
      <w:r w:rsidRPr="00D024C5">
        <w:t>ОАО «Славнефть-ЯНОС» (далее – Общество) приглашает вас сделать п</w:t>
      </w:r>
      <w:r>
        <w:t>редложение (оферту) на поставку</w:t>
      </w:r>
      <w:r w:rsidRPr="00D024C5">
        <w:t xml:space="preserve"> </w:t>
      </w:r>
      <w:r w:rsidR="00DE764B" w:rsidRPr="00DE764B">
        <w:rPr>
          <w:b/>
        </w:rPr>
        <w:t>Угля для адсорберов V-1 и V-2</w:t>
      </w:r>
      <w:r w:rsidR="00DE764B" w:rsidRPr="00DE764B">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DE764B" w:rsidP="00901E67">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xml:space="preserve"> &lt;МТР &gt;, указанн</w:t>
      </w:r>
      <w:r>
        <w:t>ую</w:t>
      </w:r>
      <w:r w:rsidRPr="00D024C5">
        <w:t xml:space="preserve"> в Требованиях к предмету оферты.</w:t>
      </w:r>
      <w:r w:rsidR="00901E67"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936469" w:rsidRDefault="00D642F8" w:rsidP="00D642F8">
      <w:pPr>
        <w:ind w:firstLine="708"/>
        <w:jc w:val="both"/>
        <w:rPr>
          <w:b/>
        </w:rPr>
      </w:pPr>
      <w:r w:rsidRPr="00936469">
        <w:rPr>
          <w:b/>
        </w:rPr>
        <w:t>Подача альтернативных оферт не допускается.</w:t>
      </w:r>
    </w:p>
    <w:p w:rsidR="00D642F8" w:rsidRPr="00936469" w:rsidRDefault="00D642F8" w:rsidP="00D642F8">
      <w:pPr>
        <w:ind w:firstLine="708"/>
        <w:jc w:val="both"/>
        <w:rPr>
          <w:b/>
        </w:rPr>
      </w:pPr>
      <w:r w:rsidRPr="00936469">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w:t>
      </w:r>
      <w:r w:rsidRPr="00D024C5">
        <w:lastRenderedPageBreak/>
        <w:t>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E10AEB">
        <w:t>2</w:t>
      </w:r>
      <w:r w:rsidR="00DE764B">
        <w:t>4</w:t>
      </w:r>
      <w:r w:rsidRPr="00206F9E">
        <w:t>.</w:t>
      </w:r>
      <w:r w:rsidR="000018E1">
        <w:t>1</w:t>
      </w:r>
      <w:r w:rsidR="00DE764B">
        <w:t>1</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F53168">
        <w:t>для иностранных компаний-</w:t>
      </w:r>
      <w:r w:rsidR="00F53168" w:rsidRPr="00052EE7">
        <w:rPr>
          <w:b/>
        </w:rPr>
        <w:t>контракт</w:t>
      </w:r>
      <w:r w:rsidR="00F53168">
        <w:rPr>
          <w:b/>
        </w:rPr>
        <w:t>,</w:t>
      </w:r>
      <w:r w:rsidR="00F53168" w:rsidRPr="00D024C5">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936469" w:rsidRPr="00936469">
        <w:rPr>
          <w:b/>
        </w:rPr>
        <w:t>и Гарантийное соглашение</w:t>
      </w:r>
      <w:r w:rsidR="00936469">
        <w:t xml:space="preserve"> </w:t>
      </w:r>
      <w:r w:rsidR="00BB58A9" w:rsidRPr="00D024C5">
        <w:t xml:space="preserve">(форма </w:t>
      </w:r>
      <w:r w:rsidR="00BB58A9">
        <w:t>3</w:t>
      </w:r>
      <w:r w:rsidR="00BB58A9" w:rsidRPr="00D024C5">
        <w:t xml:space="preserve">, </w:t>
      </w:r>
      <w:r w:rsidR="00936469">
        <w:t xml:space="preserve">Дополнение №1 </w:t>
      </w:r>
      <w:r w:rsidR="00BB58A9" w:rsidRPr="00D024C5">
        <w:t>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DE764B">
        <w:rPr>
          <w:b/>
        </w:rPr>
        <w:t>ая</w:t>
      </w:r>
      <w:r w:rsidRPr="00696E22">
        <w:rPr>
          <w:b/>
        </w:rPr>
        <w:t xml:space="preserve"> таблиц</w:t>
      </w:r>
      <w:r w:rsidR="00DE764B">
        <w:rPr>
          <w:b/>
        </w:rPr>
        <w:t>а</w:t>
      </w:r>
      <w:r w:rsidRPr="00696E22">
        <w:rPr>
          <w:b/>
        </w:rPr>
        <w:t xml:space="preserve"> п.</w:t>
      </w:r>
      <w:r>
        <w:rPr>
          <w:b/>
        </w:rPr>
        <w:t xml:space="preserve"> </w:t>
      </w:r>
      <w:r w:rsidR="00DE764B">
        <w:rPr>
          <w:b/>
        </w:rPr>
        <w:t>6 Приложения №1</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00450355">
        <w:t xml:space="preserve">соответственно </w:t>
      </w:r>
      <w:r>
        <w:t>(</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41C82" w:rsidRDefault="00C41C82" w:rsidP="00C41C8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для иностранных компаний-</w:t>
      </w:r>
      <w:r w:rsidR="00D917DD" w:rsidRPr="00052EE7">
        <w:rPr>
          <w:b/>
        </w:rPr>
        <w:t>контракт</w:t>
      </w:r>
      <w:r w:rsidR="00D917DD">
        <w:rPr>
          <w:b/>
        </w:rPr>
        <w:t>,</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41C82" w:rsidRDefault="00C41C82" w:rsidP="00C41C8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425FFB">
        <w:rPr>
          <w:rFonts w:eastAsia="Times New Roman"/>
          <w:b/>
          <w:szCs w:val="24"/>
          <w:lang w:eastAsia="ru-RU"/>
        </w:rPr>
        <w:t>4</w:t>
      </w:r>
      <w:r w:rsidRPr="00290B80">
        <w:rPr>
          <w:rFonts w:eastAsia="Times New Roman"/>
          <w:b/>
          <w:szCs w:val="24"/>
          <w:lang w:eastAsia="ru-RU"/>
        </w:rPr>
        <w:t xml:space="preserve">» </w:t>
      </w:r>
      <w:r w:rsidR="00425FFB">
        <w:rPr>
          <w:rFonts w:eastAsia="Times New Roman"/>
          <w:b/>
          <w:szCs w:val="24"/>
          <w:lang w:eastAsia="ru-RU"/>
        </w:rPr>
        <w:t>сентября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425FFB">
        <w:rPr>
          <w:rFonts w:eastAsia="Times New Roman"/>
          <w:b/>
          <w:szCs w:val="24"/>
          <w:lang w:eastAsia="ru-RU"/>
        </w:rPr>
        <w:t>15</w:t>
      </w:r>
      <w:r w:rsidRPr="00290B80">
        <w:rPr>
          <w:rFonts w:eastAsia="Times New Roman"/>
          <w:b/>
          <w:szCs w:val="24"/>
          <w:lang w:eastAsia="ru-RU"/>
        </w:rPr>
        <w:t>:</w:t>
      </w:r>
      <w:r w:rsidR="00425FFB">
        <w:rPr>
          <w:rFonts w:eastAsia="Times New Roman"/>
          <w:b/>
          <w:szCs w:val="24"/>
          <w:lang w:eastAsia="ru-RU"/>
        </w:rPr>
        <w:t>00</w:t>
      </w:r>
      <w:r w:rsidRPr="00290B80">
        <w:rPr>
          <w:rFonts w:eastAsia="Times New Roman"/>
          <w:b/>
          <w:szCs w:val="24"/>
          <w:lang w:eastAsia="ru-RU"/>
        </w:rPr>
        <w:t xml:space="preserve"> </w:t>
      </w:r>
      <w:r w:rsidR="004E5DE9">
        <w:rPr>
          <w:rFonts w:eastAsia="Times New Roman"/>
          <w:b/>
          <w:szCs w:val="24"/>
          <w:lang w:eastAsia="ru-RU"/>
        </w:rPr>
        <w:t xml:space="preserve">(МСК) </w:t>
      </w:r>
      <w:r w:rsidRPr="00290B80">
        <w:rPr>
          <w:rFonts w:eastAsia="Times New Roman"/>
          <w:b/>
          <w:szCs w:val="24"/>
          <w:lang w:eastAsia="ru-RU"/>
        </w:rPr>
        <w:t>«</w:t>
      </w:r>
      <w:r w:rsidR="00425FFB">
        <w:rPr>
          <w:rFonts w:eastAsia="Times New Roman"/>
          <w:b/>
          <w:szCs w:val="24"/>
          <w:lang w:eastAsia="ru-RU"/>
        </w:rPr>
        <w:t>18</w:t>
      </w:r>
      <w:r w:rsidRPr="00290B80">
        <w:rPr>
          <w:rFonts w:eastAsia="Times New Roman"/>
          <w:b/>
          <w:szCs w:val="24"/>
          <w:lang w:eastAsia="ru-RU"/>
        </w:rPr>
        <w:t xml:space="preserve">» </w:t>
      </w:r>
      <w:r w:rsidR="00425FFB">
        <w:rPr>
          <w:rFonts w:eastAsia="Times New Roman"/>
          <w:b/>
          <w:szCs w:val="24"/>
          <w:lang w:eastAsia="ru-RU"/>
        </w:rPr>
        <w:t xml:space="preserve">сентября </w:t>
      </w:r>
      <w:r w:rsidRPr="00290B80">
        <w:rPr>
          <w:rFonts w:eastAsia="Times New Roman"/>
          <w:b/>
          <w:szCs w:val="24"/>
          <w:lang w:eastAsia="ru-RU"/>
        </w:rPr>
        <w:t>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D917DD">
        <w:rPr>
          <w:rFonts w:eastAsia="Times New Roman"/>
          <w:b/>
          <w:szCs w:val="24"/>
          <w:lang w:eastAsia="ru-RU"/>
        </w:rPr>
        <w:t xml:space="preserve"> </w:t>
      </w:r>
      <w:r w:rsidR="00E10AEB">
        <w:rPr>
          <w:rFonts w:eastAsia="Times New Roman"/>
          <w:b/>
          <w:szCs w:val="24"/>
          <w:lang w:eastAsia="ru-RU"/>
        </w:rPr>
        <w:t>2</w:t>
      </w:r>
      <w:r w:rsidR="00DE764B">
        <w:rPr>
          <w:rFonts w:eastAsia="Times New Roman"/>
          <w:b/>
          <w:szCs w:val="24"/>
          <w:lang w:eastAsia="ru-RU"/>
        </w:rPr>
        <w:t>4</w:t>
      </w:r>
      <w:r w:rsidR="00D917DD">
        <w:rPr>
          <w:rFonts w:eastAsia="Times New Roman"/>
          <w:b/>
          <w:szCs w:val="24"/>
          <w:lang w:eastAsia="ru-RU"/>
        </w:rPr>
        <w:t xml:space="preserve"> </w:t>
      </w:r>
      <w:r w:rsidRPr="00290B80">
        <w:rPr>
          <w:rFonts w:eastAsia="Times New Roman"/>
          <w:b/>
          <w:szCs w:val="24"/>
          <w:lang w:eastAsia="ru-RU"/>
        </w:rPr>
        <w:t xml:space="preserve">» </w:t>
      </w:r>
      <w:r w:rsidR="00DE764B">
        <w:rPr>
          <w:rFonts w:eastAsia="Times New Roman"/>
          <w:b/>
          <w:szCs w:val="24"/>
          <w:lang w:eastAsia="ru-RU"/>
        </w:rPr>
        <w:t>ноя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w:t>
      </w:r>
      <w:bookmarkStart w:id="0" w:name="_GoBack"/>
      <w:bookmarkEnd w:id="0"/>
      <w:r w:rsidRPr="00290B80">
        <w:rPr>
          <w:rFonts w:eastAsia="Times New Roman"/>
          <w:szCs w:val="24"/>
          <w:lang w:eastAsia="ru-RU"/>
        </w:rPr>
        <w:t xml:space="preserve">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w:t>
      </w:r>
      <w:r w:rsidRPr="00290B80">
        <w:rPr>
          <w:rFonts w:eastAsia="Times New Roman"/>
          <w:szCs w:val="24"/>
          <w:lang w:eastAsia="ru-RU"/>
        </w:rPr>
        <w:lastRenderedPageBreak/>
        <w:t>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4B34FD">
        <w:rPr>
          <w:rFonts w:eastAsia="Times New Roman"/>
          <w:szCs w:val="24"/>
          <w:lang w:eastAsia="ru-RU"/>
        </w:rPr>
        <w:t>13</w:t>
      </w:r>
      <w:r w:rsidRPr="00290B80">
        <w:rPr>
          <w:rFonts w:eastAsia="Times New Roman"/>
          <w:szCs w:val="24"/>
          <w:lang w:eastAsia="ru-RU"/>
        </w:rPr>
        <w:t xml:space="preserve">» </w:t>
      </w:r>
      <w:r w:rsidR="004B34FD">
        <w:rPr>
          <w:rFonts w:eastAsia="Times New Roman"/>
          <w:szCs w:val="24"/>
          <w:lang w:eastAsia="ru-RU"/>
        </w:rPr>
        <w:t>сентября 2017</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4B34FD" w:rsidRPr="00E3663A" w:rsidRDefault="004B34FD" w:rsidP="004B34FD">
      <w:pPr>
        <w:ind w:firstLine="708"/>
        <w:jc w:val="both"/>
      </w:pPr>
      <w:r w:rsidRPr="00E3663A">
        <w:t>Прокофьев Олег Викторович, телефон (4852) 49-92-95</w:t>
      </w:r>
    </w:p>
    <w:p w:rsidR="004B34FD" w:rsidRPr="004E5DE9" w:rsidRDefault="004B34FD" w:rsidP="004B34FD">
      <w:pPr>
        <w:suppressAutoHyphens w:val="0"/>
        <w:ind w:firstLine="708"/>
        <w:jc w:val="both"/>
        <w:rPr>
          <w:rFonts w:eastAsia="Times New Roman"/>
          <w:szCs w:val="24"/>
          <w:lang w:eastAsia="ru-RU"/>
        </w:rPr>
      </w:pPr>
      <w:r w:rsidRPr="00E3663A">
        <w:rPr>
          <w:lang w:val="en-US"/>
        </w:rPr>
        <w:t>e</w:t>
      </w:r>
      <w:r w:rsidRPr="004E5DE9">
        <w:t>-</w:t>
      </w:r>
      <w:r w:rsidRPr="00E3663A">
        <w:rPr>
          <w:lang w:val="en-US"/>
        </w:rPr>
        <w:t>mail</w:t>
      </w:r>
      <w:r w:rsidRPr="004E5DE9">
        <w:t xml:space="preserve">:  </w:t>
      </w:r>
      <w:hyperlink r:id="rId9" w:history="1">
        <w:r w:rsidRPr="007B6304">
          <w:rPr>
            <w:lang w:val="en-US"/>
          </w:rPr>
          <w:t>tender</w:t>
        </w:r>
        <w:r w:rsidRPr="004E5DE9">
          <w:t>@</w:t>
        </w:r>
        <w:r w:rsidRPr="007B6304">
          <w:rPr>
            <w:lang w:val="en-US"/>
          </w:rPr>
          <w:t>yanos</w:t>
        </w:r>
        <w:r w:rsidRPr="004E5DE9">
          <w:t>.</w:t>
        </w:r>
        <w:r w:rsidRPr="007B6304">
          <w:rPr>
            <w:lang w:val="en-US"/>
          </w:rPr>
          <w:t>slavneft</w:t>
        </w:r>
        <w:r w:rsidRPr="004E5DE9">
          <w:t>.</w:t>
        </w:r>
        <w:r w:rsidRPr="007B6304">
          <w:rPr>
            <w:lang w:val="en-US"/>
          </w:rPr>
          <w: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A2113E" w:rsidRDefault="00D642F8" w:rsidP="00A2113E">
      <w:pPr>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w:t>
      </w:r>
      <w:r w:rsidR="00A2113E">
        <w:rPr>
          <w:rFonts w:eastAsia="Times New Roman"/>
          <w:szCs w:val="24"/>
          <w:lang w:eastAsia="ru-RU"/>
        </w:rPr>
        <w:t xml:space="preserve"> </w:t>
      </w:r>
      <w:r w:rsidR="00A2113E" w:rsidRPr="000A137A">
        <w:rPr>
          <w:rFonts w:eastAsia="Times New Roman"/>
          <w:szCs w:val="24"/>
          <w:lang w:eastAsia="ru-RU"/>
        </w:rPr>
        <w:t>(ПДО</w:t>
      </w:r>
      <w:r w:rsidR="00A2113E">
        <w:rPr>
          <w:rFonts w:eastAsia="Times New Roman"/>
          <w:szCs w:val="24"/>
          <w:lang w:eastAsia="ru-RU"/>
        </w:rPr>
        <w:t>)№400-СС-2017 от 01.09.2017.</w:t>
      </w: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DE764B">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CF0C2A" w:rsidRDefault="00B52476" w:rsidP="00CF0C2A">
      <w:pPr>
        <w:rPr>
          <w:szCs w:val="24"/>
        </w:rPr>
      </w:pPr>
      <w:r>
        <w:rPr>
          <w:szCs w:val="24"/>
        </w:rPr>
        <w:t>4</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 для иностранных поставщиков контракт»</w:t>
      </w:r>
      <w:r w:rsidR="00CF0C2A" w:rsidRPr="00BB45CB">
        <w:rPr>
          <w:szCs w:val="24"/>
        </w:rPr>
        <w:t xml:space="preserve"> на </w:t>
      </w:r>
      <w:r w:rsidR="00CF0C2A">
        <w:rPr>
          <w:szCs w:val="24"/>
        </w:rPr>
        <w:t>42</w:t>
      </w:r>
      <w:r w:rsidR="00CF0C2A"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sidR="009D5A8A">
        <w:rPr>
          <w:rFonts w:eastAsia="Times New Roman"/>
          <w:szCs w:val="24"/>
          <w:u w:val="single"/>
          <w:lang w:eastAsia="ru-RU"/>
        </w:rPr>
        <w:t>Д.Ю.Уржумов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C41C82" w:rsidRDefault="00C41C82" w:rsidP="00C41C82">
      <w:pPr>
        <w:jc w:val="right"/>
        <w:rPr>
          <w:rFonts w:eastAsia="Times New Roman"/>
          <w:b/>
          <w:lang w:eastAsia="ru-RU"/>
        </w:rPr>
      </w:pPr>
      <w:r>
        <w:rPr>
          <w:rFonts w:eastAsia="Times New Roman"/>
          <w:b/>
          <w:lang w:eastAsia="ru-RU"/>
        </w:rPr>
        <w:lastRenderedPageBreak/>
        <w:t>Приложение №1 к Форме 1</w:t>
      </w:r>
    </w:p>
    <w:p w:rsidR="00C41C82" w:rsidRDefault="00C41C82" w:rsidP="00C41C82">
      <w:pPr>
        <w:ind w:left="5664" w:hanging="984"/>
        <w:jc w:val="right"/>
      </w:pPr>
    </w:p>
    <w:p w:rsidR="00C41C82" w:rsidRDefault="00C41C82" w:rsidP="00C41C82">
      <w:pPr>
        <w:ind w:left="5664" w:hanging="984"/>
        <w:jc w:val="right"/>
      </w:pPr>
    </w:p>
    <w:p w:rsidR="00C41C82" w:rsidRPr="009C60E5" w:rsidRDefault="00C41C82" w:rsidP="00C41C82">
      <w:pPr>
        <w:ind w:left="5664" w:hanging="984"/>
        <w:jc w:val="right"/>
      </w:pPr>
      <w:r w:rsidRPr="009C60E5">
        <w:t>Генеральному директору</w:t>
      </w:r>
    </w:p>
    <w:p w:rsidR="00C41C82" w:rsidRPr="009C60E5" w:rsidRDefault="00C41C82" w:rsidP="00C41C82">
      <w:pPr>
        <w:ind w:left="5664" w:hanging="984"/>
        <w:jc w:val="right"/>
      </w:pPr>
      <w:r w:rsidRPr="009C60E5">
        <w:t>ОАО «Славнефть-ЯНОС»</w:t>
      </w:r>
    </w:p>
    <w:p w:rsidR="00C41C82" w:rsidRPr="009C60E5" w:rsidRDefault="00C41C82" w:rsidP="00C41C82">
      <w:pPr>
        <w:ind w:left="5664" w:hanging="984"/>
        <w:jc w:val="right"/>
      </w:pPr>
      <w:r>
        <w:t>Н.В</w:t>
      </w:r>
      <w:r w:rsidRPr="009C60E5">
        <w:t>.</w:t>
      </w:r>
      <w:r>
        <w:t>Карпову</w:t>
      </w:r>
    </w:p>
    <w:p w:rsidR="00C41C82" w:rsidRPr="009C60E5" w:rsidRDefault="00C41C82" w:rsidP="00C41C82">
      <w:pPr>
        <w:ind w:left="5664" w:hanging="984"/>
        <w:rPr>
          <w:b/>
        </w:rPr>
      </w:pPr>
    </w:p>
    <w:p w:rsidR="00C41C82" w:rsidRPr="009C60E5" w:rsidRDefault="00C41C82" w:rsidP="00C41C82">
      <w:pPr>
        <w:ind w:left="4680" w:hanging="984"/>
      </w:pPr>
    </w:p>
    <w:p w:rsidR="00C41C82" w:rsidRPr="009C60E5" w:rsidRDefault="00C41C82" w:rsidP="00C41C82">
      <w:pPr>
        <w:ind w:firstLine="708"/>
      </w:pPr>
      <w:r w:rsidRPr="009C60E5">
        <w:t>Настоящим подтверждаю, что с ___.___._____ года (</w:t>
      </w:r>
      <w:r w:rsidRPr="009C60E5">
        <w:rPr>
          <w:i/>
        </w:rPr>
        <w:t>указать дату предоставления в ОАО «Славнефть-ЯНОС» учредительных и регистрационных документов контрагента</w:t>
      </w:r>
      <w:r w:rsidRPr="009C60E5">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C41C82" w:rsidRPr="009C60E5" w:rsidRDefault="00C41C82" w:rsidP="00C41C82"/>
    <w:p w:rsidR="00C41C82" w:rsidRPr="009C60E5" w:rsidRDefault="00C41C82" w:rsidP="00C41C82">
      <w:r w:rsidRPr="009C60E5">
        <w:t>_____________________________________</w:t>
      </w:r>
      <w:r w:rsidRPr="009C60E5">
        <w:tab/>
      </w:r>
      <w:r w:rsidRPr="009C60E5">
        <w:tab/>
      </w:r>
      <w:r w:rsidRPr="009C60E5">
        <w:tab/>
      </w:r>
      <w:r w:rsidRPr="009C60E5">
        <w:tab/>
        <w:t>________________________</w:t>
      </w:r>
    </w:p>
    <w:p w:rsidR="00C41C82" w:rsidRPr="009C60E5" w:rsidRDefault="00C41C82" w:rsidP="00C41C82"/>
    <w:p w:rsidR="00C41C82" w:rsidRPr="009C60E5" w:rsidRDefault="00C41C82" w:rsidP="00C41C82">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41C82" w:rsidRPr="009C60E5" w:rsidRDefault="00C41C82" w:rsidP="00C41C82">
      <w:pPr>
        <w:rPr>
          <w:i/>
        </w:rPr>
      </w:pPr>
      <w:r w:rsidRPr="009C60E5">
        <w:rPr>
          <w:i/>
        </w:rPr>
        <w:t>исполнительного органа  в соответствии с</w:t>
      </w:r>
    </w:p>
    <w:p w:rsidR="00C41C82" w:rsidRPr="009C60E5" w:rsidRDefault="00C41C82" w:rsidP="00C41C82">
      <w:pPr>
        <w:rPr>
          <w:i/>
        </w:rPr>
      </w:pPr>
      <w:r w:rsidRPr="009C60E5">
        <w:rPr>
          <w:i/>
        </w:rPr>
        <w:t>Уставом Общества:</w:t>
      </w:r>
    </w:p>
    <w:p w:rsidR="00C41C82" w:rsidRPr="009C60E5" w:rsidRDefault="00C41C82" w:rsidP="00C41C82">
      <w:pPr>
        <w:rPr>
          <w:i/>
        </w:rPr>
      </w:pPr>
      <w:r w:rsidRPr="009C60E5">
        <w:rPr>
          <w:i/>
        </w:rPr>
        <w:t xml:space="preserve">генеральный директор, директор и т.п.)   </w:t>
      </w:r>
    </w:p>
    <w:p w:rsidR="00C41C82" w:rsidRPr="009C60E5" w:rsidRDefault="00C41C82" w:rsidP="00C41C82">
      <w:pPr>
        <w:rPr>
          <w:i/>
        </w:rPr>
      </w:pPr>
    </w:p>
    <w:p w:rsidR="00C41C82" w:rsidRPr="009C60E5" w:rsidRDefault="00C41C82" w:rsidP="00C41C82">
      <w:pPr>
        <w:rPr>
          <w:i/>
        </w:rPr>
      </w:pPr>
    </w:p>
    <w:p w:rsidR="00C41C82" w:rsidRPr="009C60E5" w:rsidRDefault="00C41C82" w:rsidP="00C41C82">
      <w:r w:rsidRPr="009C60E5">
        <w:t>«____»_____________ 20 ___ года</w:t>
      </w:r>
    </w:p>
    <w:p w:rsidR="00C41C82" w:rsidRPr="00FB1208" w:rsidRDefault="00C41C82" w:rsidP="00C41C82">
      <w:pPr>
        <w:rPr>
          <w:szCs w:val="24"/>
        </w:rPr>
      </w:pPr>
    </w:p>
    <w:p w:rsidR="00C41C82" w:rsidRDefault="00C41C82" w:rsidP="00C41C82">
      <w:pPr>
        <w:jc w:val="right"/>
        <w:rPr>
          <w:rFonts w:eastAsia="Times New Roman"/>
          <w:b/>
          <w:lang w:eastAsia="ru-RU"/>
        </w:rPr>
        <w:sectPr w:rsidR="00C41C82" w:rsidSect="00DE764B">
          <w:headerReference w:type="default" r:id="rId12"/>
          <w:footerReference w:type="default" r:id="rId13"/>
          <w:pgSz w:w="11906" w:h="16838"/>
          <w:pgMar w:top="284" w:right="930" w:bottom="284" w:left="992" w:header="709" w:footer="709" w:gutter="0"/>
          <w:cols w:space="708"/>
          <w:docGrid w:linePitch="360"/>
        </w:sectPr>
      </w:pPr>
    </w:p>
    <w:p w:rsidR="00C41C82" w:rsidRDefault="00C41C82" w:rsidP="00C41C82">
      <w:pPr>
        <w:jc w:val="right"/>
        <w:rPr>
          <w:rFonts w:eastAsia="Times New Roman"/>
          <w:b/>
          <w:lang w:eastAsia="ru-RU"/>
        </w:rPr>
      </w:pPr>
      <w:r>
        <w:rPr>
          <w:rFonts w:eastAsia="Times New Roman"/>
          <w:b/>
          <w:lang w:eastAsia="ru-RU"/>
        </w:rPr>
        <w:lastRenderedPageBreak/>
        <w:t>Приложение №2 к Форме 1</w:t>
      </w:r>
    </w:p>
    <w:p w:rsidR="00C41C82" w:rsidRDefault="00C41C82" w:rsidP="00C41C82">
      <w:pPr>
        <w:ind w:left="5664" w:hanging="984"/>
        <w:jc w:val="right"/>
      </w:pPr>
    </w:p>
    <w:p w:rsidR="00C41C82" w:rsidRDefault="00C41C82" w:rsidP="00C41C82">
      <w:pPr>
        <w:ind w:left="5664" w:hanging="984"/>
        <w:jc w:val="right"/>
      </w:pPr>
    </w:p>
    <w:p w:rsidR="00C41C82" w:rsidRPr="009C60E5" w:rsidRDefault="00C41C82" w:rsidP="00C41C82">
      <w:pPr>
        <w:ind w:left="5664" w:hanging="984"/>
        <w:jc w:val="right"/>
      </w:pPr>
      <w:r w:rsidRPr="009C60E5">
        <w:t>Генеральному директору</w:t>
      </w:r>
    </w:p>
    <w:p w:rsidR="00C41C82" w:rsidRPr="009C60E5" w:rsidRDefault="00C41C82" w:rsidP="00C41C82">
      <w:pPr>
        <w:ind w:left="5664" w:hanging="984"/>
        <w:jc w:val="right"/>
      </w:pPr>
      <w:r w:rsidRPr="009C60E5">
        <w:t>ОАО «Славнефть-ЯНОС»</w:t>
      </w:r>
    </w:p>
    <w:p w:rsidR="00C41C82" w:rsidRPr="009C60E5" w:rsidRDefault="00C41C82" w:rsidP="00C41C82">
      <w:pPr>
        <w:ind w:left="5664" w:hanging="984"/>
        <w:jc w:val="right"/>
      </w:pPr>
      <w:r>
        <w:t>Н.В.Карпову</w:t>
      </w:r>
    </w:p>
    <w:p w:rsidR="00C41C82" w:rsidRPr="009C60E5" w:rsidRDefault="00C41C82" w:rsidP="00C41C82">
      <w:pPr>
        <w:ind w:left="5664" w:hanging="984"/>
        <w:rPr>
          <w:b/>
        </w:rPr>
      </w:pPr>
    </w:p>
    <w:p w:rsidR="00C41C82" w:rsidRPr="009C60E5" w:rsidRDefault="00C41C82" w:rsidP="00C41C82">
      <w:pPr>
        <w:ind w:left="4680" w:hanging="984"/>
      </w:pPr>
    </w:p>
    <w:p w:rsidR="00C41C82" w:rsidRPr="009C60E5" w:rsidRDefault="00C41C82" w:rsidP="00C41C82">
      <w:pPr>
        <w:ind w:firstLine="708"/>
      </w:pPr>
      <w:r w:rsidRPr="009C60E5">
        <w:t>Настоящим подтверждаю, что сделка, совершаемая ____________________________(далее - «Общество») с ОАО «Славнефть-ЯНОС»</w:t>
      </w:r>
    </w:p>
    <w:p w:rsidR="00C41C82" w:rsidRPr="009C60E5" w:rsidRDefault="00C41C82" w:rsidP="00C41C82">
      <w:r w:rsidRPr="009C60E5">
        <w:t>_______________________________________________________________________________________________________________________________________________________________________________________________________________________________________</w:t>
      </w:r>
    </w:p>
    <w:p w:rsidR="00C41C82" w:rsidRPr="009C60E5" w:rsidRDefault="00C41C82" w:rsidP="00C41C82">
      <w:pPr>
        <w:rPr>
          <w:i/>
        </w:rPr>
      </w:pPr>
      <w:r w:rsidRPr="009C60E5">
        <w:rPr>
          <w:i/>
        </w:rPr>
        <w:t xml:space="preserve">(краткое описание сделки)  </w:t>
      </w:r>
    </w:p>
    <w:p w:rsidR="00C41C82" w:rsidRPr="009C60E5" w:rsidRDefault="00C41C82" w:rsidP="00C41C82">
      <w:pPr>
        <w:rPr>
          <w:i/>
        </w:rPr>
      </w:pPr>
    </w:p>
    <w:p w:rsidR="00C41C82" w:rsidRPr="009C60E5" w:rsidRDefault="00C41C82" w:rsidP="00C41C82">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C41C82" w:rsidRPr="009C60E5" w:rsidRDefault="00C41C82" w:rsidP="00C41C82"/>
    <w:p w:rsidR="00C41C82" w:rsidRPr="009C60E5" w:rsidRDefault="00C41C82" w:rsidP="00C41C82"/>
    <w:p w:rsidR="00C41C82" w:rsidRPr="009C60E5" w:rsidRDefault="00C41C82" w:rsidP="00C41C82">
      <w:r w:rsidRPr="009C60E5">
        <w:t>_____________________________________</w:t>
      </w:r>
      <w:r w:rsidRPr="009C60E5">
        <w:tab/>
      </w:r>
      <w:r w:rsidRPr="009C60E5">
        <w:tab/>
      </w:r>
      <w:r w:rsidRPr="009C60E5">
        <w:tab/>
      </w:r>
      <w:r w:rsidRPr="009C60E5">
        <w:tab/>
        <w:t>________________________</w:t>
      </w:r>
    </w:p>
    <w:p w:rsidR="00C41C82" w:rsidRPr="009C60E5" w:rsidRDefault="00C41C82" w:rsidP="00C41C82"/>
    <w:p w:rsidR="00C41C82" w:rsidRPr="009C60E5" w:rsidRDefault="00C41C82" w:rsidP="00C41C82">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41C82" w:rsidRPr="009C60E5" w:rsidRDefault="00C41C82" w:rsidP="00C41C82">
      <w:pPr>
        <w:rPr>
          <w:i/>
        </w:rPr>
      </w:pPr>
      <w:r w:rsidRPr="009C60E5">
        <w:rPr>
          <w:i/>
        </w:rPr>
        <w:t>исполнительного органа  в соответствии с</w:t>
      </w:r>
    </w:p>
    <w:p w:rsidR="00C41C82" w:rsidRPr="009C60E5" w:rsidRDefault="00C41C82" w:rsidP="00C41C82">
      <w:pPr>
        <w:rPr>
          <w:i/>
        </w:rPr>
      </w:pPr>
      <w:r w:rsidRPr="009C60E5">
        <w:rPr>
          <w:i/>
        </w:rPr>
        <w:t>Уставом Общества:</w:t>
      </w:r>
    </w:p>
    <w:p w:rsidR="00C41C82" w:rsidRPr="009C60E5" w:rsidRDefault="00C41C82" w:rsidP="00C41C82">
      <w:pPr>
        <w:rPr>
          <w:i/>
        </w:rPr>
      </w:pPr>
      <w:r w:rsidRPr="009C60E5">
        <w:rPr>
          <w:i/>
        </w:rPr>
        <w:t xml:space="preserve">генеральный директор, директор и т.п.)   </w:t>
      </w:r>
    </w:p>
    <w:p w:rsidR="00C41C82" w:rsidRPr="009C60E5" w:rsidRDefault="00C41C82" w:rsidP="00C41C82">
      <w:pPr>
        <w:rPr>
          <w:i/>
        </w:rPr>
      </w:pPr>
    </w:p>
    <w:p w:rsidR="00C41C82" w:rsidRPr="009C60E5" w:rsidRDefault="00C41C82" w:rsidP="00C41C82">
      <w:pPr>
        <w:rPr>
          <w:i/>
        </w:rPr>
      </w:pPr>
    </w:p>
    <w:p w:rsidR="00C41C82" w:rsidRPr="009C60E5" w:rsidRDefault="00C41C82" w:rsidP="00C41C82">
      <w:r w:rsidRPr="009C60E5">
        <w:t>«____»_____________ 20 ___ года</w:t>
      </w:r>
    </w:p>
    <w:p w:rsidR="00C41C82" w:rsidRDefault="00C41C82" w:rsidP="00C41C82">
      <w:pPr>
        <w:jc w:val="right"/>
        <w:rPr>
          <w:rFonts w:eastAsia="Times New Roman"/>
          <w:b/>
          <w:lang w:eastAsia="ru-RU"/>
        </w:rPr>
        <w:sectPr w:rsidR="00C41C82" w:rsidSect="00DE764B">
          <w:pgSz w:w="11906" w:h="16838"/>
          <w:pgMar w:top="284" w:right="930" w:bottom="284" w:left="992" w:header="709" w:footer="709" w:gutter="0"/>
          <w:cols w:space="708"/>
          <w:docGrid w:linePitch="360"/>
        </w:sectPr>
      </w:pPr>
    </w:p>
    <w:p w:rsidR="00C41C82" w:rsidRDefault="00C41C82" w:rsidP="00C41C82">
      <w:pPr>
        <w:jc w:val="right"/>
        <w:rPr>
          <w:rFonts w:eastAsia="Times New Roman"/>
          <w:b/>
          <w:lang w:eastAsia="ru-RU"/>
        </w:rPr>
      </w:pPr>
      <w:r>
        <w:rPr>
          <w:rFonts w:eastAsia="Times New Roman"/>
          <w:b/>
          <w:lang w:eastAsia="ru-RU"/>
        </w:rPr>
        <w:lastRenderedPageBreak/>
        <w:t>Приложение №3 к Форме 1</w:t>
      </w:r>
    </w:p>
    <w:p w:rsidR="00C41C82" w:rsidRDefault="00C41C82" w:rsidP="00C41C82">
      <w:pPr>
        <w:jc w:val="right"/>
        <w:rPr>
          <w:rFonts w:eastAsia="Times New Roman"/>
          <w:b/>
          <w:lang w:eastAsia="ru-RU"/>
        </w:rPr>
      </w:pPr>
    </w:p>
    <w:p w:rsidR="00C41C82" w:rsidRDefault="00C41C82" w:rsidP="00C41C82">
      <w:pPr>
        <w:jc w:val="right"/>
        <w:rPr>
          <w:rFonts w:eastAsia="Times New Roman"/>
          <w:b/>
          <w:lang w:eastAsia="ru-RU"/>
        </w:rPr>
      </w:pPr>
    </w:p>
    <w:p w:rsidR="00C41C82" w:rsidRPr="009C60E5" w:rsidRDefault="00C41C82" w:rsidP="00C41C82">
      <w:pPr>
        <w:ind w:left="5664" w:hanging="984"/>
        <w:jc w:val="right"/>
      </w:pPr>
      <w:r w:rsidRPr="009C60E5">
        <w:t>Генеральному директору</w:t>
      </w:r>
    </w:p>
    <w:p w:rsidR="00C41C82" w:rsidRPr="009C60E5" w:rsidRDefault="00C41C82" w:rsidP="00C41C82">
      <w:pPr>
        <w:ind w:left="5664" w:hanging="984"/>
        <w:jc w:val="right"/>
      </w:pPr>
      <w:r w:rsidRPr="009C60E5">
        <w:t>ОАО «Славнефть-ЯНОС»</w:t>
      </w:r>
    </w:p>
    <w:p w:rsidR="00C41C82" w:rsidRPr="009C60E5" w:rsidRDefault="00C41C82" w:rsidP="00C41C82">
      <w:pPr>
        <w:ind w:left="5664" w:hanging="984"/>
        <w:jc w:val="right"/>
      </w:pPr>
      <w:r>
        <w:t>Н</w:t>
      </w:r>
      <w:r w:rsidRPr="009C60E5">
        <w:t>.</w:t>
      </w:r>
      <w:r>
        <w:t>В.Карпову</w:t>
      </w:r>
    </w:p>
    <w:p w:rsidR="00C41C82" w:rsidRPr="009C60E5" w:rsidRDefault="00C41C82" w:rsidP="00C41C82">
      <w:pPr>
        <w:ind w:left="5664" w:hanging="984"/>
        <w:rPr>
          <w:b/>
        </w:rPr>
      </w:pPr>
    </w:p>
    <w:p w:rsidR="00C41C82" w:rsidRPr="009C60E5" w:rsidRDefault="00C41C82" w:rsidP="00C41C82">
      <w:pPr>
        <w:ind w:left="4680" w:hanging="984"/>
      </w:pPr>
    </w:p>
    <w:p w:rsidR="00C41C82" w:rsidRPr="009C60E5" w:rsidRDefault="00C41C82" w:rsidP="00C41C82">
      <w:pPr>
        <w:ind w:firstLine="708"/>
      </w:pPr>
      <w:r w:rsidRPr="009C60E5">
        <w:t>Настоящим подтверждаю, что сделка, совершаемая ____________________________(далее - «Общество») с ОАО «Славнефть-ЯНОС»</w:t>
      </w:r>
    </w:p>
    <w:p w:rsidR="00C41C82" w:rsidRPr="009C60E5" w:rsidRDefault="00C41C82" w:rsidP="00C41C82">
      <w:r w:rsidRPr="009C60E5">
        <w:t>_______________________________________________________________________________________________________________________________________________________________________________________________________________________________________</w:t>
      </w:r>
    </w:p>
    <w:p w:rsidR="00C41C82" w:rsidRPr="009C60E5" w:rsidRDefault="00C41C82" w:rsidP="00C41C82">
      <w:pPr>
        <w:rPr>
          <w:i/>
        </w:rPr>
      </w:pPr>
      <w:r w:rsidRPr="009C60E5">
        <w:rPr>
          <w:i/>
        </w:rPr>
        <w:t xml:space="preserve">(краткое описание сделки)  </w:t>
      </w:r>
    </w:p>
    <w:p w:rsidR="00C41C82" w:rsidRPr="009C60E5" w:rsidRDefault="00C41C82" w:rsidP="00C41C82">
      <w:pPr>
        <w:rPr>
          <w:i/>
        </w:rPr>
      </w:pPr>
    </w:p>
    <w:p w:rsidR="00C41C82" w:rsidRPr="009C60E5" w:rsidRDefault="00C41C82" w:rsidP="00C41C82">
      <w:r w:rsidRPr="009C60E5">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C41C82" w:rsidRPr="009C60E5" w:rsidRDefault="00C41C82" w:rsidP="00C41C82">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C41C82" w:rsidRPr="009C60E5" w:rsidRDefault="00C41C82" w:rsidP="00C41C82"/>
    <w:p w:rsidR="00C41C82" w:rsidRPr="009C60E5" w:rsidRDefault="00C41C82" w:rsidP="00C41C82"/>
    <w:p w:rsidR="00C41C82" w:rsidRPr="009C60E5" w:rsidRDefault="00C41C82" w:rsidP="00C41C82">
      <w:r w:rsidRPr="009C60E5">
        <w:t>_____________________________________</w:t>
      </w:r>
      <w:r w:rsidRPr="009C60E5">
        <w:tab/>
      </w:r>
      <w:r w:rsidRPr="009C60E5">
        <w:tab/>
      </w:r>
      <w:r w:rsidRPr="009C60E5">
        <w:tab/>
      </w:r>
      <w:r w:rsidRPr="009C60E5">
        <w:tab/>
        <w:t>________________________</w:t>
      </w:r>
    </w:p>
    <w:p w:rsidR="00C41C82" w:rsidRPr="009C60E5" w:rsidRDefault="00C41C82" w:rsidP="00C41C82"/>
    <w:p w:rsidR="00C41C82" w:rsidRPr="009C60E5" w:rsidRDefault="00C41C82" w:rsidP="00C41C82">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41C82" w:rsidRPr="009C60E5" w:rsidRDefault="00C41C82" w:rsidP="00C41C82">
      <w:pPr>
        <w:rPr>
          <w:i/>
        </w:rPr>
      </w:pPr>
      <w:r w:rsidRPr="009C60E5">
        <w:rPr>
          <w:i/>
        </w:rPr>
        <w:t>исполнительного органа  в соответствии с</w:t>
      </w:r>
    </w:p>
    <w:p w:rsidR="00C41C82" w:rsidRPr="009C60E5" w:rsidRDefault="00C41C82" w:rsidP="00C41C82">
      <w:pPr>
        <w:rPr>
          <w:i/>
        </w:rPr>
      </w:pPr>
      <w:r w:rsidRPr="009C60E5">
        <w:rPr>
          <w:i/>
        </w:rPr>
        <w:t>Уставом Общества:</w:t>
      </w:r>
    </w:p>
    <w:p w:rsidR="00C41C82" w:rsidRPr="009C60E5" w:rsidRDefault="00C41C82" w:rsidP="00C41C82">
      <w:pPr>
        <w:rPr>
          <w:i/>
        </w:rPr>
      </w:pPr>
      <w:r w:rsidRPr="009C60E5">
        <w:rPr>
          <w:i/>
        </w:rPr>
        <w:t xml:space="preserve">генеральный директор, директор и т.п.)   </w:t>
      </w:r>
    </w:p>
    <w:p w:rsidR="00C41C82" w:rsidRPr="009C60E5" w:rsidRDefault="00C41C82" w:rsidP="00C41C82">
      <w:pPr>
        <w:rPr>
          <w:i/>
        </w:rPr>
      </w:pPr>
    </w:p>
    <w:p w:rsidR="00C41C82" w:rsidRPr="009C60E5" w:rsidRDefault="00C41C82" w:rsidP="00C41C82">
      <w:pPr>
        <w:rPr>
          <w:i/>
        </w:rPr>
      </w:pPr>
    </w:p>
    <w:p w:rsidR="00C41C82" w:rsidRPr="009C60E5" w:rsidRDefault="00C41C82" w:rsidP="00C41C82">
      <w:r w:rsidRPr="009C60E5">
        <w:t>«____»_____________ 20 ___ года</w:t>
      </w:r>
    </w:p>
    <w:p w:rsidR="00C41C82" w:rsidRDefault="00C41C82" w:rsidP="00947022">
      <w:pPr>
        <w:jc w:val="right"/>
        <w:rPr>
          <w:rFonts w:eastAsia="Times New Roman"/>
          <w:b/>
          <w:lang w:eastAsia="ru-RU"/>
        </w:rPr>
        <w:sectPr w:rsidR="00C41C82" w:rsidSect="00F53168">
          <w:footerReference w:type="default" r:id="rId14"/>
          <w:pgSz w:w="11906" w:h="16838" w:code="9"/>
          <w:pgMar w:top="540" w:right="567" w:bottom="426" w:left="1134" w:header="720" w:footer="265"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E10AEB" w:rsidRPr="00DE764B" w:rsidRDefault="00901E67" w:rsidP="00E10AEB">
      <w:pPr>
        <w:suppressAutoHyphens w:val="0"/>
        <w:ind w:left="720"/>
        <w:jc w:val="both"/>
        <w:rPr>
          <w:rFonts w:eastAsia="Calibri"/>
          <w:b/>
          <w:szCs w:val="24"/>
        </w:rPr>
      </w:pPr>
      <w:r w:rsidRPr="00DE764B">
        <w:rPr>
          <w:rFonts w:eastAsia="Calibri"/>
          <w:b/>
          <w:szCs w:val="24"/>
        </w:rPr>
        <w:t xml:space="preserve">Лот №1: </w:t>
      </w:r>
      <w:r w:rsidR="00DE764B" w:rsidRPr="00DE764B">
        <w:rPr>
          <w:b/>
          <w:szCs w:val="24"/>
        </w:rPr>
        <w:t>Уг</w:t>
      </w:r>
      <w:r w:rsidR="00DE764B">
        <w:rPr>
          <w:b/>
          <w:szCs w:val="24"/>
        </w:rPr>
        <w:t>о</w:t>
      </w:r>
      <w:r w:rsidR="00DE764B" w:rsidRPr="00DE764B">
        <w:rPr>
          <w:b/>
          <w:szCs w:val="24"/>
        </w:rPr>
        <w:t>л</w:t>
      </w:r>
      <w:r w:rsidR="00DE764B">
        <w:rPr>
          <w:b/>
          <w:szCs w:val="24"/>
        </w:rPr>
        <w:t>ь</w:t>
      </w:r>
      <w:r w:rsidR="00DE764B" w:rsidRPr="00DE764B">
        <w:rPr>
          <w:b/>
          <w:szCs w:val="24"/>
        </w:rPr>
        <w:t xml:space="preserve"> для адсорберов V-1 и V-2</w:t>
      </w:r>
      <w:r w:rsidR="00DE764B">
        <w:rPr>
          <w:b/>
          <w:szCs w:val="24"/>
        </w:rPr>
        <w:t>.</w:t>
      </w:r>
    </w:p>
    <w:p w:rsidR="00D642F8" w:rsidRPr="00442F60" w:rsidRDefault="00D642F8" w:rsidP="001B65A8">
      <w:pPr>
        <w:numPr>
          <w:ilvl w:val="0"/>
          <w:numId w:val="12"/>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9D5A8A" w:rsidRPr="00DE764B" w:rsidRDefault="00901E67" w:rsidP="00E3163E">
      <w:pPr>
        <w:pStyle w:val="af1"/>
        <w:jc w:val="both"/>
        <w:rPr>
          <w:rFonts w:cs="Arial"/>
          <w:b/>
        </w:rPr>
      </w:pPr>
      <w:r w:rsidRPr="00DE764B">
        <w:rPr>
          <w:rFonts w:cs="Arial"/>
          <w:b/>
        </w:rPr>
        <w:t>Лот №</w:t>
      </w:r>
      <w:r w:rsidR="00E10AEB" w:rsidRPr="00DE764B">
        <w:rPr>
          <w:rFonts w:cs="Arial"/>
          <w:b/>
        </w:rPr>
        <w:t xml:space="preserve">1– </w:t>
      </w:r>
      <w:r w:rsidR="00DE764B" w:rsidRPr="00DE764B">
        <w:rPr>
          <w:rFonts w:cs="Arial"/>
          <w:b/>
        </w:rPr>
        <w:t>январь</w:t>
      </w:r>
      <w:r w:rsidR="00E10AEB" w:rsidRPr="00DE764B">
        <w:rPr>
          <w:rFonts w:cs="Arial"/>
          <w:b/>
        </w:rPr>
        <w:t xml:space="preserve"> 201</w:t>
      </w:r>
      <w:r w:rsidR="00E3163E" w:rsidRPr="00DE764B">
        <w:rPr>
          <w:rFonts w:cs="Arial"/>
          <w:b/>
        </w:rPr>
        <w:t>8</w:t>
      </w:r>
      <w:r w:rsidR="009D5A8A" w:rsidRPr="00DE764B">
        <w:rPr>
          <w:rFonts w:cs="Arial"/>
          <w:b/>
        </w:rPr>
        <w:t>.</w:t>
      </w:r>
    </w:p>
    <w:p w:rsidR="009D5A8A" w:rsidRPr="009D5A8A" w:rsidRDefault="009D5A8A" w:rsidP="009D5A8A">
      <w:pPr>
        <w:pStyle w:val="af1"/>
        <w:jc w:val="both"/>
        <w:rPr>
          <w:rFonts w:cs="Arial"/>
          <w:b/>
          <w:sz w:val="28"/>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610281" w:rsidRDefault="00D642F8" w:rsidP="001B65A8">
      <w:pPr>
        <w:numPr>
          <w:ilvl w:val="0"/>
          <w:numId w:val="12"/>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r w:rsidR="00DE764B">
        <w:rPr>
          <w:rFonts w:eastAsia="Calibri"/>
          <w:b/>
          <w:u w:val="single"/>
        </w:rPr>
        <w:t>(Лот № 1)</w:t>
      </w:r>
      <w:r w:rsidRPr="00A56C8F">
        <w:rPr>
          <w:rFonts w:eastAsia="Calibri"/>
          <w:b/>
          <w:u w:val="single"/>
        </w:rPr>
        <w:t>:</w:t>
      </w:r>
    </w:p>
    <w:p w:rsidR="007F57EE" w:rsidRPr="00A56C8F" w:rsidRDefault="007F57EE" w:rsidP="00610281">
      <w:pPr>
        <w:spacing w:after="120"/>
        <w:ind w:left="142" w:firstLine="425"/>
        <w:contextualSpacing/>
        <w:jc w:val="both"/>
        <w:rPr>
          <w:rFonts w:eastAsia="Calibri"/>
          <w:b/>
          <w:u w:val="single"/>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7F57EE" w:rsidRPr="007F554B" w:rsidTr="00D33048">
        <w:trPr>
          <w:trHeight w:val="300"/>
          <w:tblHeader/>
        </w:trPr>
        <w:tc>
          <w:tcPr>
            <w:tcW w:w="503"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7F57EE" w:rsidRPr="007F554B" w:rsidRDefault="007F57EE" w:rsidP="00D33048">
            <w:pPr>
              <w:keepNext/>
              <w:jc w:val="center"/>
              <w:rPr>
                <w:rFonts w:cs="Arial"/>
                <w:b/>
                <w:bCs/>
                <w:sz w:val="20"/>
                <w:u w:val="single"/>
              </w:rPr>
            </w:pPr>
            <w:r w:rsidRPr="007F554B">
              <w:rPr>
                <w:rFonts w:cs="Arial"/>
                <w:b/>
                <w:bCs/>
                <w:sz w:val="20"/>
              </w:rPr>
              <w:t>Условия соответствия</w:t>
            </w:r>
          </w:p>
        </w:tc>
      </w:tr>
      <w:tr w:rsidR="007F57EE" w:rsidRPr="007F554B" w:rsidTr="00D33048">
        <w:trPr>
          <w:trHeight w:val="300"/>
          <w:tblHeader/>
        </w:trPr>
        <w:tc>
          <w:tcPr>
            <w:tcW w:w="503" w:type="dxa"/>
            <w:vMerge/>
            <w:shd w:val="clear" w:color="auto" w:fill="D9D9D9"/>
            <w:vAlign w:val="center"/>
            <w:hideMark/>
          </w:tcPr>
          <w:p w:rsidR="007F57EE" w:rsidRPr="007F554B" w:rsidRDefault="007F57EE" w:rsidP="00D33048">
            <w:pPr>
              <w:keepNext/>
              <w:rPr>
                <w:rFonts w:cs="Arial"/>
                <w:b/>
                <w:bCs/>
                <w:sz w:val="20"/>
              </w:rPr>
            </w:pPr>
          </w:p>
        </w:tc>
        <w:tc>
          <w:tcPr>
            <w:tcW w:w="3645" w:type="dxa"/>
            <w:vMerge/>
            <w:shd w:val="clear" w:color="auto" w:fill="D9D9D9"/>
            <w:vAlign w:val="center"/>
            <w:hideMark/>
          </w:tcPr>
          <w:p w:rsidR="007F57EE" w:rsidRPr="007F554B" w:rsidRDefault="007F57EE" w:rsidP="00D33048">
            <w:pPr>
              <w:keepNext/>
              <w:rPr>
                <w:rFonts w:cs="Arial"/>
                <w:b/>
                <w:bCs/>
                <w:sz w:val="20"/>
              </w:rPr>
            </w:pPr>
          </w:p>
        </w:tc>
        <w:tc>
          <w:tcPr>
            <w:tcW w:w="2355" w:type="dxa"/>
            <w:vMerge/>
            <w:shd w:val="clear" w:color="auto" w:fill="D9D9D9"/>
            <w:vAlign w:val="center"/>
            <w:hideMark/>
          </w:tcPr>
          <w:p w:rsidR="007F57EE" w:rsidRPr="007F554B" w:rsidRDefault="007F57EE" w:rsidP="00D33048">
            <w:pPr>
              <w:keepNext/>
              <w:rPr>
                <w:rFonts w:cs="Arial"/>
                <w:b/>
                <w:bCs/>
                <w:sz w:val="20"/>
              </w:rPr>
            </w:pPr>
          </w:p>
        </w:tc>
        <w:tc>
          <w:tcPr>
            <w:tcW w:w="1581" w:type="dxa"/>
            <w:vMerge/>
            <w:shd w:val="clear" w:color="auto" w:fill="D9D9D9"/>
            <w:vAlign w:val="center"/>
            <w:hideMark/>
          </w:tcPr>
          <w:p w:rsidR="007F57EE" w:rsidRPr="007F554B" w:rsidRDefault="007F57EE" w:rsidP="00D33048">
            <w:pPr>
              <w:keepNext/>
              <w:rPr>
                <w:rFonts w:cs="Arial"/>
                <w:b/>
                <w:bCs/>
                <w:sz w:val="20"/>
              </w:rPr>
            </w:pPr>
          </w:p>
        </w:tc>
        <w:tc>
          <w:tcPr>
            <w:tcW w:w="1464" w:type="dxa"/>
            <w:vMerge/>
            <w:shd w:val="clear" w:color="auto" w:fill="D9D9D9"/>
            <w:vAlign w:val="center"/>
            <w:hideMark/>
          </w:tcPr>
          <w:p w:rsidR="007F57EE" w:rsidRPr="007F554B" w:rsidRDefault="007F57EE" w:rsidP="00D33048">
            <w:pPr>
              <w:keepNext/>
              <w:rPr>
                <w:rFonts w:cs="Arial"/>
                <w:b/>
                <w:bCs/>
                <w:sz w:val="20"/>
                <w:u w:val="single"/>
              </w:rPr>
            </w:pPr>
          </w:p>
        </w:tc>
      </w:tr>
      <w:tr w:rsidR="007F57EE" w:rsidRPr="007F554B" w:rsidTr="00D33048">
        <w:trPr>
          <w:trHeight w:val="164"/>
          <w:tblHeader/>
        </w:trPr>
        <w:tc>
          <w:tcPr>
            <w:tcW w:w="503" w:type="dxa"/>
            <w:shd w:val="clear" w:color="auto" w:fill="D9D9D9"/>
            <w:noWrap/>
            <w:vAlign w:val="center"/>
          </w:tcPr>
          <w:p w:rsidR="007F57EE" w:rsidRPr="007F554B" w:rsidRDefault="007F57EE" w:rsidP="00D33048">
            <w:pPr>
              <w:jc w:val="center"/>
              <w:rPr>
                <w:rFonts w:cs="Arial"/>
                <w:b/>
                <w:sz w:val="20"/>
              </w:rPr>
            </w:pPr>
            <w:r w:rsidRPr="007F554B">
              <w:rPr>
                <w:rFonts w:cs="Arial"/>
                <w:b/>
                <w:sz w:val="20"/>
              </w:rPr>
              <w:t>1</w:t>
            </w:r>
          </w:p>
        </w:tc>
        <w:tc>
          <w:tcPr>
            <w:tcW w:w="3645" w:type="dxa"/>
            <w:shd w:val="clear" w:color="auto" w:fill="D9D9D9"/>
            <w:vAlign w:val="center"/>
          </w:tcPr>
          <w:p w:rsidR="007F57EE" w:rsidRPr="007F554B" w:rsidRDefault="007F57EE" w:rsidP="00D33048">
            <w:pPr>
              <w:jc w:val="center"/>
              <w:rPr>
                <w:rFonts w:cs="Arial"/>
                <w:b/>
                <w:sz w:val="20"/>
              </w:rPr>
            </w:pPr>
            <w:r w:rsidRPr="007F554B">
              <w:rPr>
                <w:rFonts w:cs="Arial"/>
                <w:b/>
                <w:sz w:val="20"/>
              </w:rPr>
              <w:t>2</w:t>
            </w:r>
          </w:p>
        </w:tc>
        <w:tc>
          <w:tcPr>
            <w:tcW w:w="2355" w:type="dxa"/>
            <w:shd w:val="clear" w:color="auto" w:fill="D9D9D9"/>
            <w:vAlign w:val="center"/>
          </w:tcPr>
          <w:p w:rsidR="007F57EE" w:rsidRPr="007F554B" w:rsidRDefault="007F57EE" w:rsidP="00D33048">
            <w:pPr>
              <w:jc w:val="center"/>
              <w:rPr>
                <w:rFonts w:cs="Arial"/>
                <w:b/>
                <w:sz w:val="20"/>
              </w:rPr>
            </w:pPr>
            <w:r w:rsidRPr="007F554B">
              <w:rPr>
                <w:rFonts w:cs="Arial"/>
                <w:b/>
                <w:sz w:val="20"/>
              </w:rPr>
              <w:t>3</w:t>
            </w:r>
          </w:p>
        </w:tc>
        <w:tc>
          <w:tcPr>
            <w:tcW w:w="1581" w:type="dxa"/>
            <w:shd w:val="clear" w:color="auto" w:fill="D9D9D9"/>
            <w:vAlign w:val="center"/>
          </w:tcPr>
          <w:p w:rsidR="007F57EE" w:rsidRPr="007F554B" w:rsidRDefault="007F57EE" w:rsidP="00D33048">
            <w:pPr>
              <w:jc w:val="center"/>
              <w:rPr>
                <w:rFonts w:cs="Arial"/>
                <w:b/>
                <w:sz w:val="20"/>
              </w:rPr>
            </w:pPr>
            <w:r w:rsidRPr="007F554B">
              <w:rPr>
                <w:rFonts w:cs="Arial"/>
                <w:b/>
                <w:sz w:val="20"/>
              </w:rPr>
              <w:t>4</w:t>
            </w:r>
          </w:p>
        </w:tc>
        <w:tc>
          <w:tcPr>
            <w:tcW w:w="1464" w:type="dxa"/>
            <w:shd w:val="clear" w:color="auto" w:fill="D9D9D9"/>
            <w:vAlign w:val="center"/>
          </w:tcPr>
          <w:p w:rsidR="007F57EE" w:rsidRPr="007F554B" w:rsidRDefault="007F57EE" w:rsidP="00D33048">
            <w:pPr>
              <w:jc w:val="center"/>
              <w:rPr>
                <w:rFonts w:cs="Arial"/>
                <w:b/>
                <w:sz w:val="20"/>
              </w:rPr>
            </w:pPr>
            <w:r w:rsidRPr="007F554B">
              <w:rPr>
                <w:rFonts w:cs="Arial"/>
                <w:b/>
                <w:sz w:val="20"/>
              </w:rPr>
              <w:t>5</w:t>
            </w:r>
          </w:p>
        </w:tc>
      </w:tr>
      <w:tr w:rsidR="007F57EE" w:rsidRPr="00C86DF0" w:rsidTr="00D33048">
        <w:trPr>
          <w:trHeight w:val="164"/>
        </w:trPr>
        <w:tc>
          <w:tcPr>
            <w:tcW w:w="503" w:type="dxa"/>
            <w:shd w:val="clear" w:color="auto" w:fill="auto"/>
            <w:noWrap/>
            <w:vAlign w:val="center"/>
          </w:tcPr>
          <w:p w:rsidR="007F57EE" w:rsidRPr="00C86DF0" w:rsidRDefault="007F57EE" w:rsidP="00D33048">
            <w:pPr>
              <w:rPr>
                <w:b/>
                <w:sz w:val="20"/>
              </w:rPr>
            </w:pPr>
            <w:r w:rsidRPr="00C86DF0">
              <w:rPr>
                <w:b/>
                <w:sz w:val="20"/>
              </w:rPr>
              <w:t>1</w:t>
            </w:r>
          </w:p>
        </w:tc>
        <w:tc>
          <w:tcPr>
            <w:tcW w:w="3645" w:type="dxa"/>
            <w:shd w:val="clear" w:color="auto" w:fill="auto"/>
            <w:vAlign w:val="center"/>
          </w:tcPr>
          <w:p w:rsidR="007F57EE" w:rsidRPr="00AC53F6" w:rsidRDefault="007F57EE" w:rsidP="00D33048">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7F57EE" w:rsidRPr="00C86DF0" w:rsidRDefault="007F57EE" w:rsidP="00D33048">
            <w:pPr>
              <w:jc w:val="center"/>
              <w:rPr>
                <w:b/>
                <w:sz w:val="20"/>
              </w:rPr>
            </w:pPr>
          </w:p>
        </w:tc>
        <w:tc>
          <w:tcPr>
            <w:tcW w:w="1581" w:type="dxa"/>
            <w:shd w:val="clear" w:color="000000" w:fill="FFFFFF"/>
            <w:vAlign w:val="center"/>
          </w:tcPr>
          <w:p w:rsidR="007F57EE" w:rsidRPr="00C86DF0" w:rsidRDefault="007F57EE" w:rsidP="00D33048">
            <w:pPr>
              <w:jc w:val="center"/>
              <w:rPr>
                <w:b/>
                <w:sz w:val="20"/>
              </w:rPr>
            </w:pPr>
          </w:p>
        </w:tc>
        <w:tc>
          <w:tcPr>
            <w:tcW w:w="1464" w:type="dxa"/>
            <w:shd w:val="clear" w:color="auto" w:fill="auto"/>
            <w:vAlign w:val="center"/>
          </w:tcPr>
          <w:p w:rsidR="007F57EE" w:rsidRPr="00C86DF0" w:rsidRDefault="007F57EE" w:rsidP="00D33048">
            <w:pPr>
              <w:jc w:val="center"/>
              <w:rPr>
                <w:b/>
                <w:sz w:val="20"/>
              </w:rPr>
            </w:pPr>
          </w:p>
        </w:tc>
      </w:tr>
      <w:tr w:rsidR="007F57EE" w:rsidRPr="00C86DF0" w:rsidTr="00D33048">
        <w:trPr>
          <w:trHeight w:val="164"/>
        </w:trPr>
        <w:tc>
          <w:tcPr>
            <w:tcW w:w="503" w:type="dxa"/>
            <w:shd w:val="clear" w:color="auto" w:fill="auto"/>
            <w:noWrap/>
            <w:vAlign w:val="center"/>
            <w:hideMark/>
          </w:tcPr>
          <w:p w:rsidR="007F57EE" w:rsidRPr="00C86DF0" w:rsidRDefault="007F57EE" w:rsidP="00D33048">
            <w:pPr>
              <w:rPr>
                <w:sz w:val="20"/>
              </w:rPr>
            </w:pPr>
            <w:r w:rsidRPr="00C86DF0">
              <w:rPr>
                <w:sz w:val="20"/>
              </w:rPr>
              <w:t>1</w:t>
            </w:r>
          </w:p>
        </w:tc>
        <w:tc>
          <w:tcPr>
            <w:tcW w:w="3645" w:type="dxa"/>
            <w:shd w:val="clear" w:color="auto" w:fill="auto"/>
            <w:vAlign w:val="center"/>
          </w:tcPr>
          <w:p w:rsidR="007F57EE" w:rsidRDefault="007F57EE" w:rsidP="00D33048">
            <w:pPr>
              <w:rPr>
                <w:sz w:val="20"/>
              </w:rPr>
            </w:pPr>
            <w:r>
              <w:rPr>
                <w:sz w:val="20"/>
              </w:rPr>
              <w:t>Соответствие предлагаемого товара техническим требованиям, указанным в техническом задании.</w:t>
            </w:r>
          </w:p>
          <w:p w:rsidR="007F57EE" w:rsidRPr="00C86DF0" w:rsidRDefault="007F57EE" w:rsidP="00D33048">
            <w:pPr>
              <w:rPr>
                <w:sz w:val="20"/>
              </w:rPr>
            </w:pPr>
          </w:p>
        </w:tc>
        <w:tc>
          <w:tcPr>
            <w:tcW w:w="2355" w:type="dxa"/>
            <w:shd w:val="clear" w:color="auto" w:fill="auto"/>
            <w:vAlign w:val="center"/>
          </w:tcPr>
          <w:p w:rsidR="007F57EE" w:rsidRPr="00C86DF0" w:rsidRDefault="007F57EE" w:rsidP="00D33048">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7F57EE" w:rsidRPr="00C86DF0" w:rsidRDefault="007F57EE" w:rsidP="00D33048">
            <w:pPr>
              <w:jc w:val="center"/>
              <w:rPr>
                <w:sz w:val="20"/>
              </w:rPr>
            </w:pPr>
            <w:r w:rsidRPr="00C86DF0">
              <w:rPr>
                <w:sz w:val="20"/>
              </w:rPr>
              <w:t>Да/нет</w:t>
            </w:r>
          </w:p>
        </w:tc>
        <w:tc>
          <w:tcPr>
            <w:tcW w:w="1464" w:type="dxa"/>
            <w:shd w:val="clear" w:color="auto" w:fill="auto"/>
            <w:vAlign w:val="center"/>
          </w:tcPr>
          <w:p w:rsidR="007F57EE" w:rsidRPr="00C86DF0" w:rsidRDefault="007F57EE" w:rsidP="00D33048">
            <w:pPr>
              <w:jc w:val="center"/>
              <w:rPr>
                <w:sz w:val="18"/>
                <w:szCs w:val="18"/>
              </w:rPr>
            </w:pPr>
            <w:r>
              <w:rPr>
                <w:sz w:val="18"/>
                <w:szCs w:val="18"/>
              </w:rPr>
              <w:t>Предоставление в составе оферты</w:t>
            </w:r>
          </w:p>
        </w:tc>
      </w:tr>
    </w:tbl>
    <w:p w:rsidR="008201F4" w:rsidRDefault="008201F4" w:rsidP="0043396E">
      <w:pPr>
        <w:autoSpaceDE w:val="0"/>
        <w:autoSpaceDN w:val="0"/>
        <w:adjustRightInd w:val="0"/>
        <w:ind w:left="426"/>
        <w:jc w:val="both"/>
        <w:rPr>
          <w:rFonts w:eastAsia="Times New Roman"/>
          <w:iCs/>
          <w:szCs w:val="24"/>
          <w:lang w:eastAsia="ru-RU"/>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Pr="00442F60" w:rsidRDefault="00D642F8" w:rsidP="00D642F8">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утвержденным</w:t>
      </w:r>
      <w:r w:rsidR="009D5A8A">
        <w:rPr>
          <w:rFonts w:eastAsia="Times New Roman"/>
          <w:szCs w:val="24"/>
          <w:lang w:eastAsia="ru-RU"/>
        </w:rPr>
        <w:t>и</w:t>
      </w:r>
      <w:r w:rsidRPr="00442F60">
        <w:rPr>
          <w:rFonts w:eastAsia="Times New Roman"/>
          <w:szCs w:val="24"/>
          <w:lang w:eastAsia="ru-RU"/>
        </w:rPr>
        <w:t xml:space="preserve"> </w:t>
      </w:r>
      <w:r w:rsidR="003F1610">
        <w:rPr>
          <w:rFonts w:eastAsia="Times New Roman"/>
          <w:szCs w:val="24"/>
          <w:lang w:eastAsia="ru-RU"/>
        </w:rPr>
        <w:t>«</w:t>
      </w:r>
      <w:r w:rsidRPr="00442F60">
        <w:rPr>
          <w:rFonts w:eastAsia="Times New Roman"/>
          <w:szCs w:val="24"/>
          <w:lang w:eastAsia="ru-RU"/>
        </w:rPr>
        <w:t>Техническим заданием</w:t>
      </w:r>
      <w:r w:rsidR="003F1610">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D642F8" w:rsidRPr="00442F60" w:rsidRDefault="00D642F8" w:rsidP="00936469">
      <w:pPr>
        <w:autoSpaceDE w:val="0"/>
        <w:autoSpaceDN w:val="0"/>
        <w:adjustRightInd w:val="0"/>
        <w:ind w:left="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sidR="00610281">
        <w:rPr>
          <w:rFonts w:eastAsia="Times New Roman"/>
          <w:iCs/>
          <w:szCs w:val="24"/>
          <w:lang w:eastAsia="ru-RU"/>
        </w:rPr>
        <w:t xml:space="preserve">Приложении №1 </w:t>
      </w:r>
      <w:r w:rsidR="00C86203">
        <w:rPr>
          <w:rFonts w:eastAsia="Times New Roman"/>
          <w:iCs/>
          <w:szCs w:val="24"/>
          <w:lang w:eastAsia="ru-RU"/>
        </w:rPr>
        <w:t>«Техническо</w:t>
      </w:r>
      <w:r w:rsidR="00610281">
        <w:rPr>
          <w:rFonts w:eastAsia="Times New Roman"/>
          <w:iCs/>
          <w:szCs w:val="24"/>
          <w:lang w:eastAsia="ru-RU"/>
        </w:rPr>
        <w:t>е</w:t>
      </w:r>
      <w:r w:rsidR="00C86203">
        <w:rPr>
          <w:rFonts w:eastAsia="Times New Roman"/>
          <w:iCs/>
          <w:szCs w:val="24"/>
          <w:lang w:eastAsia="ru-RU"/>
        </w:rPr>
        <w:t xml:space="preserve"> задани</w:t>
      </w:r>
      <w:r w:rsidR="00610281">
        <w:rPr>
          <w:rFonts w:eastAsia="Times New Roman"/>
          <w:iCs/>
          <w:szCs w:val="24"/>
          <w:lang w:eastAsia="ru-RU"/>
        </w:rPr>
        <w:t>е</w:t>
      </w:r>
      <w:r w:rsidR="00C86203">
        <w:rPr>
          <w:rFonts w:eastAsia="Times New Roman"/>
          <w:iCs/>
          <w:szCs w:val="24"/>
          <w:lang w:eastAsia="ru-RU"/>
        </w:rPr>
        <w:t>» к Форме 2</w:t>
      </w:r>
      <w:r w:rsidRPr="00442F60">
        <w:rPr>
          <w:rFonts w:eastAsia="Times New Roman"/>
          <w:iCs/>
          <w:szCs w:val="24"/>
          <w:lang w:eastAsia="ru-RU"/>
        </w:rPr>
        <w:t>.</w:t>
      </w: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Pr="00737265" w:rsidRDefault="00947022" w:rsidP="00947022">
      <w:pPr>
        <w:autoSpaceDE w:val="0"/>
        <w:autoSpaceDN w:val="0"/>
        <w:adjustRightInd w:val="0"/>
        <w:ind w:firstLine="426"/>
        <w:jc w:val="both"/>
        <w:rPr>
          <w:rFonts w:cs="Arial"/>
        </w:rPr>
      </w:pPr>
      <w:r w:rsidRPr="00737265">
        <w:rPr>
          <w:rFonts w:cs="Arial"/>
        </w:rPr>
        <w:t xml:space="preserve">   </w:t>
      </w:r>
    </w:p>
    <w:p w:rsidR="00947022" w:rsidRPr="008267E0" w:rsidRDefault="00947022" w:rsidP="00936469">
      <w:pPr>
        <w:autoSpaceDE w:val="0"/>
        <w:autoSpaceDN w:val="0"/>
        <w:adjustRightInd w:val="0"/>
        <w:ind w:left="426"/>
        <w:contextualSpacing/>
        <w:jc w:val="both"/>
        <w:rPr>
          <w:rFonts w:cs="Arial"/>
        </w:rPr>
      </w:pPr>
      <w:r w:rsidRPr="008267E0">
        <w:rPr>
          <w:rFonts w:cs="Arial"/>
        </w:rPr>
        <w:t xml:space="preserve">- продукция соответствует требованиям, предъявляемым к </w:t>
      </w:r>
      <w:r>
        <w:rPr>
          <w:rFonts w:cs="Arial"/>
        </w:rPr>
        <w:t>реагентам</w:t>
      </w:r>
      <w:r w:rsidRPr="008267E0">
        <w:rPr>
          <w:rFonts w:cs="Arial"/>
        </w:rPr>
        <w:t xml:space="preserve"> в прилагаем</w:t>
      </w:r>
      <w:r>
        <w:rPr>
          <w:rFonts w:cs="Arial"/>
        </w:rPr>
        <w:t>ом</w:t>
      </w:r>
      <w:r w:rsidRPr="008267E0">
        <w:rPr>
          <w:rFonts w:cs="Arial"/>
        </w:rPr>
        <w:t xml:space="preserve"> техническ</w:t>
      </w:r>
      <w:r>
        <w:rPr>
          <w:rFonts w:cs="Arial"/>
        </w:rPr>
        <w:t>ом</w:t>
      </w:r>
      <w:r w:rsidRPr="008267E0">
        <w:rPr>
          <w:rFonts w:cs="Arial"/>
        </w:rPr>
        <w:t xml:space="preserve"> задани</w:t>
      </w:r>
      <w:r>
        <w:rPr>
          <w:rFonts w:cs="Arial"/>
        </w:rPr>
        <w:t>и</w:t>
      </w:r>
      <w:r w:rsidRPr="008267E0">
        <w:rPr>
          <w:rFonts w:cs="Arial"/>
        </w:rPr>
        <w:t xml:space="preserve">; </w:t>
      </w:r>
    </w:p>
    <w:p w:rsidR="00947022" w:rsidRDefault="00947022" w:rsidP="00947022">
      <w:pPr>
        <w:autoSpaceDE w:val="0"/>
        <w:autoSpaceDN w:val="0"/>
        <w:adjustRightInd w:val="0"/>
        <w:ind w:firstLine="426"/>
        <w:contextualSpacing/>
        <w:jc w:val="both"/>
        <w:rPr>
          <w:rFonts w:cs="Arial"/>
        </w:rPr>
      </w:pPr>
      <w:r>
        <w:rPr>
          <w:rFonts w:cs="Arial"/>
        </w:rPr>
        <w:t>- на продукцию имеются 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lastRenderedPageBreak/>
        <w:t>- аварийная карта;</w:t>
      </w:r>
    </w:p>
    <w:p w:rsidR="00947022" w:rsidRDefault="00947022" w:rsidP="00947022">
      <w:pPr>
        <w:autoSpaceDE w:val="0"/>
        <w:autoSpaceDN w:val="0"/>
        <w:adjustRightInd w:val="0"/>
        <w:ind w:firstLine="426"/>
        <w:contextualSpacing/>
        <w:jc w:val="both"/>
        <w:rPr>
          <w:rFonts w:cs="Arial"/>
        </w:rPr>
      </w:pPr>
      <w:r>
        <w:rPr>
          <w:rFonts w:cs="Arial"/>
        </w:rPr>
        <w:t>-  в объем поставки необходимо включить:</w:t>
      </w:r>
    </w:p>
    <w:p w:rsidR="00947022" w:rsidRDefault="00947022" w:rsidP="00947022">
      <w:pPr>
        <w:autoSpaceDE w:val="0"/>
        <w:autoSpaceDN w:val="0"/>
        <w:adjustRightInd w:val="0"/>
        <w:ind w:firstLine="426"/>
        <w:contextualSpacing/>
        <w:jc w:val="both"/>
        <w:rPr>
          <w:rFonts w:cs="Arial"/>
        </w:rPr>
      </w:pPr>
      <w:r>
        <w:rPr>
          <w:rFonts w:cs="Arial"/>
        </w:rPr>
        <w:t>- сопутствующее дозирующее и контролирующее оборудование;</w:t>
      </w:r>
    </w:p>
    <w:p w:rsidR="00947022" w:rsidRDefault="00947022" w:rsidP="00947022">
      <w:pPr>
        <w:autoSpaceDE w:val="0"/>
        <w:autoSpaceDN w:val="0"/>
        <w:adjustRightInd w:val="0"/>
        <w:ind w:firstLine="426"/>
        <w:contextualSpacing/>
        <w:jc w:val="both"/>
        <w:rPr>
          <w:rFonts w:cs="Arial"/>
        </w:rPr>
      </w:pPr>
      <w:r>
        <w:rPr>
          <w:rFonts w:cs="Arial"/>
        </w:rPr>
        <w:t>- все необходимые тесты и реактивы для аналитического контроля качества воды;</w:t>
      </w:r>
    </w:p>
    <w:p w:rsidR="00947022" w:rsidRDefault="00947022" w:rsidP="00947022">
      <w:pPr>
        <w:autoSpaceDE w:val="0"/>
        <w:autoSpaceDN w:val="0"/>
        <w:adjustRightInd w:val="0"/>
        <w:ind w:firstLine="426"/>
        <w:contextualSpacing/>
        <w:jc w:val="both"/>
        <w:rPr>
          <w:rFonts w:cs="Arial"/>
        </w:rPr>
      </w:pPr>
      <w:r>
        <w:rPr>
          <w:rFonts w:cs="Arial"/>
        </w:rPr>
        <w:t>- пусконаладочные работы для комплексов дозирования реагентов.</w:t>
      </w:r>
    </w:p>
    <w:p w:rsidR="000018E1" w:rsidRDefault="000018E1" w:rsidP="00947022">
      <w:pPr>
        <w:autoSpaceDE w:val="0"/>
        <w:autoSpaceDN w:val="0"/>
        <w:adjustRightInd w:val="0"/>
        <w:ind w:firstLine="426"/>
        <w:contextualSpacing/>
        <w:jc w:val="both"/>
        <w:rPr>
          <w:rFonts w:cs="Arial"/>
        </w:rPr>
      </w:pP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9D5A8A"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lastRenderedPageBreak/>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Pr="00442F60"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54179A" w:rsidRDefault="0054179A" w:rsidP="0054179A">
      <w:pPr>
        <w:spacing w:after="120"/>
        <w:ind w:left="426" w:firstLine="425"/>
        <w:contextualSpacing/>
        <w:jc w:val="both"/>
        <w:rPr>
          <w:rFonts w:eastAsia="Calibri"/>
        </w:rPr>
      </w:pPr>
      <w:r>
        <w:rPr>
          <w:rFonts w:eastAsia="Calibri"/>
        </w:rPr>
        <w:tab/>
      </w: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54179A" w:rsidP="000F2A38">
            <w:pPr>
              <w:jc w:val="center"/>
              <w:rPr>
                <w:b/>
                <w:bCs/>
                <w:sz w:val="20"/>
              </w:rPr>
            </w:pPr>
            <w:r>
              <w:rPr>
                <w:rFonts w:eastAsia="Calibri"/>
              </w:rPr>
              <w:br w:type="page"/>
            </w:r>
            <w:r w:rsidR="008201F4"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7"/>
              <w:spacing w:after="0"/>
              <w:rPr>
                <w:sz w:val="20"/>
              </w:rPr>
            </w:pPr>
            <w:r w:rsidRPr="005553BE">
              <w:rPr>
                <w:rStyle w:val="14"/>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4"/>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7"/>
              <w:spacing w:after="0"/>
              <w:jc w:val="center"/>
              <w:rPr>
                <w:sz w:val="20"/>
              </w:rPr>
            </w:pPr>
            <w:r w:rsidRPr="005553BE">
              <w:rPr>
                <w:rStyle w:val="14"/>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936469" w:rsidRPr="0043396E" w:rsidRDefault="00936469" w:rsidP="00936469">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936469" w:rsidRPr="0043396E" w:rsidRDefault="00936469" w:rsidP="00936469">
      <w:pPr>
        <w:autoSpaceDE w:val="0"/>
        <w:autoSpaceDN w:val="0"/>
        <w:adjustRightInd w:val="0"/>
        <w:ind w:left="426"/>
        <w:jc w:val="both"/>
        <w:rPr>
          <w:rFonts w:eastAsia="Times New Roman"/>
          <w:sz w:val="23"/>
          <w:szCs w:val="23"/>
          <w:lang w:eastAsia="ru-RU"/>
        </w:rPr>
      </w:pPr>
    </w:p>
    <w:p w:rsidR="00936469" w:rsidRPr="00276331" w:rsidRDefault="00936469" w:rsidP="00936469">
      <w:pPr>
        <w:spacing w:line="276" w:lineRule="auto"/>
        <w:ind w:left="426" w:right="-83"/>
        <w:jc w:val="both"/>
        <w:rPr>
          <w:b/>
          <w:sz w:val="22"/>
        </w:rPr>
      </w:pPr>
      <w:r>
        <w:rPr>
          <w:rFonts w:eastAsia="Times New Roman"/>
          <w:b/>
          <w:sz w:val="23"/>
          <w:szCs w:val="23"/>
          <w:lang w:eastAsia="ru-RU"/>
        </w:rPr>
        <w:tab/>
      </w:r>
      <w:r w:rsidRPr="00844009">
        <w:rPr>
          <w:rFonts w:eastAsia="Times New Roman"/>
          <w:b/>
          <w:sz w:val="23"/>
          <w:szCs w:val="23"/>
          <w:lang w:eastAsia="ru-RU"/>
        </w:rPr>
        <w:t>1. Техническое предложение в соответстви</w:t>
      </w:r>
      <w:r>
        <w:rPr>
          <w:rFonts w:eastAsia="Times New Roman"/>
          <w:b/>
          <w:sz w:val="23"/>
          <w:szCs w:val="23"/>
          <w:lang w:eastAsia="ru-RU"/>
        </w:rPr>
        <w:t>и с прилагаемыми ТЗ.</w:t>
      </w:r>
    </w:p>
    <w:p w:rsidR="00D642F8" w:rsidRPr="00442F60" w:rsidRDefault="00936469" w:rsidP="00936469">
      <w:pPr>
        <w:tabs>
          <w:tab w:val="left" w:pos="709"/>
          <w:tab w:val="left" w:pos="900"/>
          <w:tab w:val="left" w:pos="1080"/>
        </w:tabs>
        <w:autoSpaceDE w:val="0"/>
        <w:ind w:left="426"/>
        <w:jc w:val="both"/>
        <w:rPr>
          <w:rFonts w:ascii="Arial" w:eastAsia="Times New Roman" w:hAnsi="Arial" w:cs="Arial"/>
          <w:lang w:eastAsia="ru-RU"/>
        </w:rPr>
      </w:pPr>
      <w:r>
        <w:rPr>
          <w:rFonts w:eastAsia="Times New Roman"/>
          <w:b/>
          <w:sz w:val="23"/>
          <w:szCs w:val="23"/>
          <w:lang w:eastAsia="ru-RU"/>
        </w:rPr>
        <w:tab/>
        <w:t>2.</w:t>
      </w:r>
      <w:r w:rsidRPr="00844009">
        <w:rPr>
          <w:rFonts w:eastAsia="Times New Roman"/>
          <w:b/>
          <w:sz w:val="23"/>
          <w:szCs w:val="23"/>
          <w:lang w:eastAsia="ru-RU"/>
        </w:rPr>
        <w:t>Заполненный Проект «</w:t>
      </w:r>
      <w:r w:rsidRPr="007E55C6">
        <w:rPr>
          <w:b/>
          <w:smallCaps/>
          <w:szCs w:val="26"/>
        </w:rPr>
        <w:t>ГАРАНТИЙНОЕ СОГЛАШЕНИЕ О ТЕХНОЛОГИЧЕСКИХ ГАРАНТИЯХ</w:t>
      </w:r>
      <w:r>
        <w:rPr>
          <w:rFonts w:eastAsia="Times New Roman"/>
          <w:b/>
          <w:smallCaps/>
          <w:sz w:val="22"/>
          <w:szCs w:val="23"/>
          <w:lang w:eastAsia="ru-RU"/>
        </w:rPr>
        <w:t xml:space="preserve"> </w:t>
      </w:r>
      <w:r w:rsidRPr="007E55C6">
        <w:rPr>
          <w:b/>
          <w:smallCaps/>
          <w:szCs w:val="26"/>
        </w:rPr>
        <w:t>И    ОТВЕТСТВЕННОСТИ ПРОИЗВОДИТЕЛЯ ЗА ИХ НЕСОБЛЮДЕНИЕ</w:t>
      </w:r>
      <w:r w:rsidRPr="00844009">
        <w:rPr>
          <w:rFonts w:eastAsia="Times New Roman"/>
          <w:b/>
          <w:sz w:val="23"/>
          <w:szCs w:val="23"/>
          <w:lang w:eastAsia="ru-RU"/>
        </w:rPr>
        <w:t>»</w:t>
      </w:r>
      <w:r>
        <w:rPr>
          <w:rFonts w:eastAsia="Times New Roman"/>
          <w:b/>
          <w:sz w:val="23"/>
          <w:szCs w:val="23"/>
          <w:lang w:eastAsia="ru-RU"/>
        </w:rPr>
        <w:t>.</w:t>
      </w: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009D5A8A">
        <w:rPr>
          <w:rFonts w:eastAsia="Times New Roman"/>
          <w:szCs w:val="24"/>
          <w:u w:val="single"/>
          <w:lang w:eastAsia="ru-RU"/>
        </w:rPr>
        <w:t>Д.Ю.Уржумов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E10AEB" w:rsidRDefault="00E10AEB" w:rsidP="00A30BEF">
      <w:pPr>
        <w:pStyle w:val="1"/>
        <w:jc w:val="right"/>
        <w:rPr>
          <w:rFonts w:ascii="Times New Roman" w:hAnsi="Times New Roman"/>
          <w:lang w:val="ru-RU"/>
        </w:rPr>
      </w:pPr>
      <w:r>
        <w:rPr>
          <w:rFonts w:ascii="Times New Roman" w:hAnsi="Times New Roman"/>
          <w:lang w:val="ru-RU"/>
        </w:rPr>
        <w:br w:type="page"/>
      </w:r>
    </w:p>
    <w:p w:rsidR="00657744" w:rsidRDefault="00EE125B" w:rsidP="00A30BEF">
      <w:pPr>
        <w:pStyle w:val="1"/>
        <w:jc w:val="right"/>
        <w:rPr>
          <w:rFonts w:ascii="Times New Roman" w:hAnsi="Times New Roman"/>
          <w:lang w:val="ru-RU"/>
        </w:rPr>
      </w:pPr>
      <w:r>
        <w:rPr>
          <w:rFonts w:ascii="Times New Roman" w:hAnsi="Times New Roman"/>
          <w:lang w:val="ru-RU"/>
        </w:rPr>
        <w:lastRenderedPageBreak/>
        <w:t xml:space="preserve">Приложение №1 </w:t>
      </w:r>
      <w:r w:rsidR="00C86203">
        <w:rPr>
          <w:rFonts w:ascii="Times New Roman" w:hAnsi="Times New Roman"/>
          <w:lang w:val="ru-RU"/>
        </w:rPr>
        <w:t>«Техническое задание»</w:t>
      </w:r>
      <w:r w:rsidR="00A30BEF" w:rsidRPr="00A30BEF">
        <w:rPr>
          <w:rFonts w:ascii="Times New Roman" w:hAnsi="Times New Roman"/>
          <w:lang w:val="ru-RU"/>
        </w:rPr>
        <w:t xml:space="preserve"> к Форме 2</w:t>
      </w:r>
    </w:p>
    <w:p w:rsidR="00E10AEB" w:rsidRDefault="0098576C" w:rsidP="00786A04">
      <w:pPr>
        <w:suppressAutoHyphens w:val="0"/>
        <w:jc w:val="center"/>
      </w:pPr>
      <w:r w:rsidRPr="0098576C">
        <w:rPr>
          <w:noProof/>
          <w:lang w:eastAsia="ru-RU"/>
        </w:rPr>
        <w:drawing>
          <wp:inline distT="0" distB="0" distL="0" distR="0">
            <wp:extent cx="5807292" cy="8624570"/>
            <wp:effectExtent l="0" t="0" r="3175"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9286" cy="8627531"/>
                    </a:xfrm>
                    <a:prstGeom prst="rect">
                      <a:avLst/>
                    </a:prstGeom>
                    <a:noFill/>
                    <a:ln>
                      <a:noFill/>
                    </a:ln>
                  </pic:spPr>
                </pic:pic>
              </a:graphicData>
            </a:graphic>
          </wp:inline>
        </w:drawing>
      </w:r>
    </w:p>
    <w:p w:rsidR="00E10AEB" w:rsidRDefault="00E10AEB" w:rsidP="00E10AEB">
      <w:pPr>
        <w:pStyle w:val="aff9"/>
        <w:ind w:firstLine="0"/>
        <w:rPr>
          <w:sz w:val="24"/>
        </w:rPr>
      </w:pPr>
    </w:p>
    <w:p w:rsidR="00E07F37" w:rsidRDefault="00786A04" w:rsidP="00786A04">
      <w:pPr>
        <w:pStyle w:val="1"/>
        <w:spacing w:line="240" w:lineRule="auto"/>
      </w:pPr>
      <w:r>
        <w:lastRenderedPageBreak/>
        <w:t xml:space="preserve"> </w:t>
      </w:r>
    </w:p>
    <w:p w:rsidR="00E07F37" w:rsidRDefault="0098576C" w:rsidP="0098576C">
      <w:pPr>
        <w:jc w:val="center"/>
      </w:pPr>
      <w:r w:rsidRPr="0098576C">
        <w:rPr>
          <w:noProof/>
          <w:lang w:eastAsia="ru-RU"/>
        </w:rPr>
        <w:drawing>
          <wp:inline distT="0" distB="0" distL="0" distR="0">
            <wp:extent cx="6103620" cy="4044778"/>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7948" cy="4047646"/>
                    </a:xfrm>
                    <a:prstGeom prst="rect">
                      <a:avLst/>
                    </a:prstGeom>
                    <a:noFill/>
                    <a:ln>
                      <a:noFill/>
                    </a:ln>
                  </pic:spPr>
                </pic:pic>
              </a:graphicData>
            </a:graphic>
          </wp:inline>
        </w:drawing>
      </w:r>
    </w:p>
    <w:p w:rsidR="007819DE" w:rsidRDefault="007819DE" w:rsidP="0098576C">
      <w:pPr>
        <w:jc w:val="center"/>
      </w:pPr>
    </w:p>
    <w:p w:rsidR="007819DE" w:rsidRPr="00643A72" w:rsidRDefault="007819DE" w:rsidP="007819DE">
      <w:pPr>
        <w:pStyle w:val="a7"/>
        <w:numPr>
          <w:ilvl w:val="0"/>
          <w:numId w:val="44"/>
        </w:numPr>
        <w:suppressAutoHyphens w:val="0"/>
        <w:spacing w:after="0"/>
        <w:jc w:val="both"/>
      </w:pPr>
      <w:r w:rsidRPr="00643A72">
        <w:t>Форма представления Технического предложения</w:t>
      </w:r>
    </w:p>
    <w:p w:rsidR="007819DE" w:rsidRPr="000B2DC5" w:rsidRDefault="007819DE" w:rsidP="007819DE">
      <w:pPr>
        <w:tabs>
          <w:tab w:val="left" w:pos="567"/>
        </w:tabs>
        <w:ind w:left="113"/>
        <w:jc w:val="both"/>
        <w:rPr>
          <w:bCs/>
        </w:rPr>
      </w:pPr>
      <w:r w:rsidRPr="000B2DC5">
        <w:rPr>
          <w:bCs/>
        </w:rPr>
        <w:t xml:space="preserve">Электронный экземпляр технического предложения предоставляется в формате </w:t>
      </w:r>
      <w:r w:rsidRPr="000B2DC5">
        <w:rPr>
          <w:bCs/>
          <w:lang w:val="en-US"/>
        </w:rPr>
        <w:t>Acrobat</w:t>
      </w:r>
      <w:r w:rsidRPr="000B2DC5">
        <w:rPr>
          <w:bCs/>
        </w:rPr>
        <w:t xml:space="preserve"> </w:t>
      </w:r>
      <w:r w:rsidRPr="000B2DC5">
        <w:rPr>
          <w:bCs/>
          <w:lang w:val="en-US"/>
        </w:rPr>
        <w:t>reader</w:t>
      </w:r>
      <w:r w:rsidRPr="000B2DC5">
        <w:rPr>
          <w:bCs/>
        </w:rPr>
        <w:t xml:space="preserve"> (</w:t>
      </w:r>
      <w:r w:rsidRPr="000B2DC5">
        <w:rPr>
          <w:bCs/>
          <w:lang w:val="en-US"/>
        </w:rPr>
        <w:t>pdf</w:t>
      </w:r>
      <w:r w:rsidRPr="000B2DC5">
        <w:rPr>
          <w:bCs/>
        </w:rPr>
        <w:t>). Информация предоставляется на русском языке.</w:t>
      </w:r>
    </w:p>
    <w:p w:rsidR="007819DE" w:rsidRDefault="007819DE" w:rsidP="007819DE">
      <w:pPr>
        <w:jc w:val="center"/>
      </w:pPr>
    </w:p>
    <w:p w:rsidR="007819DE" w:rsidRPr="00643A72" w:rsidRDefault="007819DE" w:rsidP="007819DE">
      <w:pPr>
        <w:jc w:val="center"/>
        <w:rPr>
          <w:b/>
          <w:i/>
        </w:rPr>
      </w:pPr>
      <w:r w:rsidRPr="00643A72">
        <w:rPr>
          <w:b/>
          <w:i/>
        </w:rPr>
        <w:t>Техническое предложение на поставку активированного угля для установки регенерации паров углеводородов участка СНН в а/ц тит.173 цеха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087"/>
        <w:gridCol w:w="2091"/>
      </w:tblGrid>
      <w:tr w:rsidR="007819DE" w:rsidTr="00174B1A">
        <w:tc>
          <w:tcPr>
            <w:tcW w:w="959" w:type="dxa"/>
            <w:shd w:val="clear" w:color="auto" w:fill="auto"/>
          </w:tcPr>
          <w:p w:rsidR="007819DE" w:rsidRDefault="007819DE" w:rsidP="00174B1A">
            <w:pPr>
              <w:jc w:val="center"/>
            </w:pPr>
            <w:r>
              <w:t>№ п/п</w:t>
            </w:r>
          </w:p>
        </w:tc>
        <w:tc>
          <w:tcPr>
            <w:tcW w:w="7087" w:type="dxa"/>
            <w:shd w:val="clear" w:color="auto" w:fill="auto"/>
          </w:tcPr>
          <w:p w:rsidR="007819DE" w:rsidRDefault="007819DE" w:rsidP="00174B1A">
            <w:pPr>
              <w:jc w:val="center"/>
            </w:pPr>
            <w:r>
              <w:t>Показатель</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1</w:t>
            </w:r>
          </w:p>
        </w:tc>
        <w:tc>
          <w:tcPr>
            <w:tcW w:w="7087" w:type="dxa"/>
            <w:shd w:val="clear" w:color="auto" w:fill="auto"/>
            <w:vAlign w:val="center"/>
          </w:tcPr>
          <w:p w:rsidR="007819DE" w:rsidRDefault="007819DE" w:rsidP="00174B1A">
            <w:pPr>
              <w:jc w:val="both"/>
            </w:pPr>
            <w:r w:rsidRPr="00572E25">
              <w:t>Марка</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2</w:t>
            </w:r>
          </w:p>
        </w:tc>
        <w:tc>
          <w:tcPr>
            <w:tcW w:w="7087" w:type="dxa"/>
            <w:shd w:val="clear" w:color="auto" w:fill="auto"/>
          </w:tcPr>
          <w:p w:rsidR="007819DE" w:rsidRDefault="007819DE" w:rsidP="00174B1A">
            <w:pPr>
              <w:jc w:val="both"/>
            </w:pPr>
            <w:r w:rsidRPr="00572E25">
              <w:t xml:space="preserve">ТУ или техническая спецификация, паспорт безопасности (официально заверенные копии документов прилагаются к техническому предложению). Описание </w:t>
            </w:r>
            <w:r>
              <w:t>угля</w:t>
            </w:r>
            <w:r w:rsidRPr="00572E25">
              <w:t>, информация об условиях хранения</w:t>
            </w:r>
            <w:r>
              <w:t xml:space="preserve"> (все </w:t>
            </w:r>
            <w:r w:rsidRPr="00572E25">
              <w:t>документы представл</w:t>
            </w:r>
            <w:r>
              <w:t xml:space="preserve">яются </w:t>
            </w:r>
            <w:r w:rsidRPr="00572E25">
              <w:t>на русском языке</w:t>
            </w:r>
            <w:r>
              <w:t>).</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3</w:t>
            </w:r>
          </w:p>
        </w:tc>
        <w:tc>
          <w:tcPr>
            <w:tcW w:w="7087" w:type="dxa"/>
            <w:shd w:val="clear" w:color="auto" w:fill="auto"/>
            <w:vAlign w:val="center"/>
          </w:tcPr>
          <w:p w:rsidR="007819DE" w:rsidRDefault="007819DE" w:rsidP="00174B1A">
            <w:pPr>
              <w:jc w:val="both"/>
            </w:pPr>
            <w:r w:rsidRPr="00572E25">
              <w:t>Страна, город производства активированн</w:t>
            </w:r>
            <w:r>
              <w:t>ого угля.</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4</w:t>
            </w:r>
          </w:p>
        </w:tc>
        <w:tc>
          <w:tcPr>
            <w:tcW w:w="7087" w:type="dxa"/>
            <w:shd w:val="clear" w:color="auto" w:fill="auto"/>
            <w:vAlign w:val="center"/>
          </w:tcPr>
          <w:p w:rsidR="007819DE" w:rsidRDefault="007819DE" w:rsidP="00174B1A">
            <w:pPr>
              <w:jc w:val="both"/>
            </w:pPr>
            <w:r w:rsidRPr="00572E25">
              <w:t>Референц-лист о применении предлагаемого адсорбента на предприятиях нефтепереработки и нефтехимии Российской Федерации</w:t>
            </w:r>
            <w:r>
              <w:t>.</w:t>
            </w:r>
          </w:p>
        </w:tc>
        <w:tc>
          <w:tcPr>
            <w:tcW w:w="2091" w:type="dxa"/>
            <w:shd w:val="clear" w:color="auto" w:fill="auto"/>
          </w:tcPr>
          <w:p w:rsidR="007819DE" w:rsidRDefault="007819DE" w:rsidP="00174B1A">
            <w:pPr>
              <w:jc w:val="center"/>
            </w:pPr>
          </w:p>
        </w:tc>
      </w:tr>
      <w:tr w:rsidR="007819DE" w:rsidTr="00174B1A">
        <w:tc>
          <w:tcPr>
            <w:tcW w:w="959" w:type="dxa"/>
            <w:vMerge w:val="restart"/>
            <w:shd w:val="clear" w:color="auto" w:fill="auto"/>
            <w:vAlign w:val="center"/>
          </w:tcPr>
          <w:p w:rsidR="007819DE" w:rsidRDefault="007819DE" w:rsidP="00174B1A">
            <w:pPr>
              <w:jc w:val="center"/>
            </w:pPr>
            <w:r>
              <w:t>5</w:t>
            </w:r>
          </w:p>
        </w:tc>
        <w:tc>
          <w:tcPr>
            <w:tcW w:w="7087" w:type="dxa"/>
            <w:shd w:val="clear" w:color="auto" w:fill="auto"/>
            <w:vAlign w:val="center"/>
          </w:tcPr>
          <w:p w:rsidR="007819DE" w:rsidRDefault="007819DE" w:rsidP="00174B1A">
            <w:pPr>
              <w:jc w:val="both"/>
            </w:pPr>
            <w:r w:rsidRPr="00572E25">
              <w:t xml:space="preserve">Характеристика </w:t>
            </w:r>
            <w:r w:rsidRPr="00932A74">
              <w:rPr>
                <w:bCs/>
              </w:rPr>
              <w:t>активированного угля:</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vAlign w:val="center"/>
          </w:tcPr>
          <w:p w:rsidR="007819DE" w:rsidRPr="00643A72" w:rsidRDefault="007819DE" w:rsidP="007819DE">
            <w:pPr>
              <w:numPr>
                <w:ilvl w:val="0"/>
                <w:numId w:val="43"/>
              </w:numPr>
              <w:suppressAutoHyphens w:val="0"/>
              <w:jc w:val="both"/>
            </w:pPr>
            <w:r w:rsidRPr="00643A72">
              <w:t>активность по бензолу</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vAlign w:val="center"/>
          </w:tcPr>
          <w:p w:rsidR="007819DE" w:rsidRPr="00643A72" w:rsidRDefault="007819DE" w:rsidP="007819DE">
            <w:pPr>
              <w:numPr>
                <w:ilvl w:val="0"/>
                <w:numId w:val="43"/>
              </w:numPr>
              <w:suppressAutoHyphens w:val="0"/>
              <w:jc w:val="both"/>
            </w:pPr>
            <w:r>
              <w:t xml:space="preserve">товарная </w:t>
            </w:r>
            <w:r w:rsidRPr="00643A72">
              <w:t>форма угля</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vAlign w:val="center"/>
          </w:tcPr>
          <w:p w:rsidR="007819DE" w:rsidRPr="00643A72" w:rsidRDefault="007819DE" w:rsidP="007819DE">
            <w:pPr>
              <w:numPr>
                <w:ilvl w:val="0"/>
                <w:numId w:val="43"/>
              </w:numPr>
              <w:suppressAutoHyphens w:val="0"/>
              <w:jc w:val="both"/>
            </w:pPr>
            <w:r w:rsidRPr="00643A72">
              <w:t>насыпная плотность угля</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vAlign w:val="center"/>
          </w:tcPr>
          <w:p w:rsidR="007819DE" w:rsidRPr="00643A72" w:rsidRDefault="007819DE" w:rsidP="007819DE">
            <w:pPr>
              <w:numPr>
                <w:ilvl w:val="0"/>
                <w:numId w:val="43"/>
              </w:numPr>
              <w:suppressAutoHyphens w:val="0"/>
              <w:jc w:val="both"/>
            </w:pPr>
            <w:r w:rsidRPr="00643A72">
              <w:t>размер частиц угля</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vAlign w:val="center"/>
          </w:tcPr>
          <w:p w:rsidR="007819DE" w:rsidRPr="00643A72" w:rsidRDefault="007819DE" w:rsidP="007819DE">
            <w:pPr>
              <w:numPr>
                <w:ilvl w:val="0"/>
                <w:numId w:val="43"/>
              </w:numPr>
              <w:suppressAutoHyphens w:val="0"/>
              <w:jc w:val="both"/>
            </w:pPr>
            <w:r w:rsidRPr="00643A72">
              <w:t>индекс прочности угля по ГОСТ Р 55873-2013</w:t>
            </w:r>
          </w:p>
        </w:tc>
        <w:tc>
          <w:tcPr>
            <w:tcW w:w="2091" w:type="dxa"/>
            <w:shd w:val="clear" w:color="auto" w:fill="auto"/>
          </w:tcPr>
          <w:p w:rsidR="007819DE" w:rsidRDefault="007819DE" w:rsidP="00174B1A">
            <w:pPr>
              <w:jc w:val="center"/>
            </w:pPr>
          </w:p>
        </w:tc>
      </w:tr>
      <w:tr w:rsidR="007819DE" w:rsidTr="00174B1A">
        <w:tc>
          <w:tcPr>
            <w:tcW w:w="959" w:type="dxa"/>
            <w:vMerge/>
            <w:shd w:val="clear" w:color="auto" w:fill="auto"/>
            <w:vAlign w:val="center"/>
          </w:tcPr>
          <w:p w:rsidR="007819DE" w:rsidRDefault="007819DE" w:rsidP="00174B1A">
            <w:pPr>
              <w:jc w:val="center"/>
            </w:pPr>
          </w:p>
        </w:tc>
        <w:tc>
          <w:tcPr>
            <w:tcW w:w="7087" w:type="dxa"/>
            <w:shd w:val="clear" w:color="auto" w:fill="auto"/>
          </w:tcPr>
          <w:p w:rsidR="007819DE" w:rsidRDefault="007819DE" w:rsidP="007819DE">
            <w:pPr>
              <w:numPr>
                <w:ilvl w:val="0"/>
                <w:numId w:val="43"/>
              </w:numPr>
              <w:suppressAutoHyphens w:val="0"/>
              <w:jc w:val="both"/>
            </w:pPr>
            <w:r>
              <w:t>к</w:t>
            </w:r>
            <w:r w:rsidRPr="00572E25">
              <w:t>ласс опасности (подтверждающие документы прилагаются)</w:t>
            </w:r>
            <w:r>
              <w:t>.</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6</w:t>
            </w:r>
          </w:p>
        </w:tc>
        <w:tc>
          <w:tcPr>
            <w:tcW w:w="7087" w:type="dxa"/>
            <w:shd w:val="clear" w:color="auto" w:fill="auto"/>
            <w:vAlign w:val="center"/>
          </w:tcPr>
          <w:p w:rsidR="007819DE" w:rsidRDefault="007819DE" w:rsidP="00174B1A">
            <w:pPr>
              <w:jc w:val="both"/>
            </w:pPr>
            <w:r w:rsidRPr="00572E25">
              <w:t xml:space="preserve">Предлагаемое к загрузке количество </w:t>
            </w:r>
            <w:r w:rsidRPr="00932A74">
              <w:rPr>
                <w:bCs/>
              </w:rPr>
              <w:t>активированного угля.</w:t>
            </w:r>
          </w:p>
        </w:tc>
        <w:tc>
          <w:tcPr>
            <w:tcW w:w="2091" w:type="dxa"/>
            <w:shd w:val="clear" w:color="auto" w:fill="auto"/>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7</w:t>
            </w:r>
          </w:p>
        </w:tc>
        <w:tc>
          <w:tcPr>
            <w:tcW w:w="7087" w:type="dxa"/>
            <w:shd w:val="clear" w:color="auto" w:fill="auto"/>
            <w:vAlign w:val="center"/>
          </w:tcPr>
          <w:p w:rsidR="007819DE" w:rsidRDefault="007819DE" w:rsidP="00174B1A">
            <w:pPr>
              <w:jc w:val="both"/>
            </w:pPr>
            <w:r w:rsidRPr="00572E25">
              <w:t xml:space="preserve">Загрузка </w:t>
            </w:r>
            <w:r w:rsidRPr="00932A74">
              <w:rPr>
                <w:bCs/>
              </w:rPr>
              <w:t xml:space="preserve">активированного угля </w:t>
            </w:r>
            <w:r w:rsidRPr="00572E25">
              <w:t>(диаграмма загрузки) в адсорб</w:t>
            </w:r>
            <w:r>
              <w:t xml:space="preserve">еры </w:t>
            </w:r>
            <w:r w:rsidRPr="00932A74">
              <w:rPr>
                <w:lang w:val="en-US"/>
              </w:rPr>
              <w:t>V</w:t>
            </w:r>
            <w:r w:rsidRPr="00AF4845">
              <w:t xml:space="preserve">-1 </w:t>
            </w:r>
            <w:r>
              <w:t xml:space="preserve">и </w:t>
            </w:r>
            <w:r w:rsidRPr="00932A74">
              <w:rPr>
                <w:lang w:val="en-US"/>
              </w:rPr>
              <w:t>V</w:t>
            </w:r>
            <w:r w:rsidRPr="00AF4845">
              <w:t>-2</w:t>
            </w:r>
            <w:r>
              <w:t>.</w:t>
            </w:r>
          </w:p>
        </w:tc>
        <w:tc>
          <w:tcPr>
            <w:tcW w:w="2091" w:type="dxa"/>
            <w:shd w:val="clear" w:color="auto" w:fill="auto"/>
            <w:vAlign w:val="center"/>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t>8</w:t>
            </w:r>
          </w:p>
        </w:tc>
        <w:tc>
          <w:tcPr>
            <w:tcW w:w="7087" w:type="dxa"/>
            <w:shd w:val="clear" w:color="auto" w:fill="auto"/>
            <w:vAlign w:val="center"/>
          </w:tcPr>
          <w:p w:rsidR="007819DE" w:rsidRDefault="007819DE" w:rsidP="00174B1A">
            <w:pPr>
              <w:jc w:val="both"/>
            </w:pPr>
            <w:r w:rsidRPr="00572E25">
              <w:t xml:space="preserve">Подготовка </w:t>
            </w:r>
            <w:r w:rsidRPr="00932A74">
              <w:rPr>
                <w:bCs/>
              </w:rPr>
              <w:t xml:space="preserve">активированного угля </w:t>
            </w:r>
            <w:r w:rsidRPr="00572E25">
              <w:t>к работе</w:t>
            </w:r>
          </w:p>
        </w:tc>
        <w:tc>
          <w:tcPr>
            <w:tcW w:w="2091" w:type="dxa"/>
            <w:shd w:val="clear" w:color="auto" w:fill="auto"/>
            <w:vAlign w:val="center"/>
          </w:tcPr>
          <w:p w:rsidR="007819DE" w:rsidRDefault="007819DE" w:rsidP="00174B1A">
            <w:pPr>
              <w:jc w:val="center"/>
            </w:pPr>
          </w:p>
        </w:tc>
      </w:tr>
      <w:tr w:rsidR="007819DE" w:rsidTr="00174B1A">
        <w:tc>
          <w:tcPr>
            <w:tcW w:w="959" w:type="dxa"/>
            <w:shd w:val="clear" w:color="auto" w:fill="auto"/>
            <w:vAlign w:val="center"/>
          </w:tcPr>
          <w:p w:rsidR="007819DE" w:rsidRDefault="007819DE" w:rsidP="00174B1A">
            <w:pPr>
              <w:jc w:val="center"/>
            </w:pPr>
            <w:r>
              <w:lastRenderedPageBreak/>
              <w:t>9</w:t>
            </w:r>
          </w:p>
        </w:tc>
        <w:tc>
          <w:tcPr>
            <w:tcW w:w="7087" w:type="dxa"/>
            <w:shd w:val="clear" w:color="auto" w:fill="auto"/>
            <w:vAlign w:val="center"/>
          </w:tcPr>
          <w:p w:rsidR="007819DE" w:rsidRDefault="007819DE" w:rsidP="00174B1A">
            <w:pPr>
              <w:jc w:val="both"/>
            </w:pPr>
            <w:r w:rsidRPr="00572E25">
              <w:t>Сопровождение загрузки и подготовки активированн</w:t>
            </w:r>
            <w:r>
              <w:t>ого</w:t>
            </w:r>
            <w:r w:rsidRPr="00572E25">
              <w:t xml:space="preserve"> </w:t>
            </w:r>
            <w:r>
              <w:t>угля</w:t>
            </w:r>
            <w:r w:rsidRPr="00572E25">
              <w:t xml:space="preserve"> к работе, мониторинг работы</w:t>
            </w:r>
          </w:p>
        </w:tc>
        <w:tc>
          <w:tcPr>
            <w:tcW w:w="2091" w:type="dxa"/>
            <w:shd w:val="clear" w:color="auto" w:fill="auto"/>
            <w:vAlign w:val="center"/>
          </w:tcPr>
          <w:p w:rsidR="007819DE" w:rsidRDefault="007819DE" w:rsidP="00174B1A">
            <w:pPr>
              <w:jc w:val="center"/>
            </w:pPr>
          </w:p>
        </w:tc>
      </w:tr>
      <w:tr w:rsidR="007819DE" w:rsidTr="00174B1A">
        <w:tc>
          <w:tcPr>
            <w:tcW w:w="959" w:type="dxa"/>
            <w:vMerge w:val="restart"/>
            <w:shd w:val="clear" w:color="auto" w:fill="auto"/>
            <w:vAlign w:val="center"/>
          </w:tcPr>
          <w:p w:rsidR="007819DE" w:rsidRDefault="007819DE" w:rsidP="00174B1A">
            <w:pPr>
              <w:jc w:val="center"/>
            </w:pPr>
            <w:r>
              <w:t>10</w:t>
            </w:r>
          </w:p>
        </w:tc>
        <w:tc>
          <w:tcPr>
            <w:tcW w:w="7087" w:type="dxa"/>
            <w:shd w:val="clear" w:color="auto" w:fill="auto"/>
            <w:vAlign w:val="center"/>
          </w:tcPr>
          <w:p w:rsidR="007819DE" w:rsidRPr="00572E25" w:rsidRDefault="007819DE" w:rsidP="00174B1A">
            <w:pPr>
              <w:jc w:val="both"/>
            </w:pPr>
            <w:r w:rsidRPr="00572E25">
              <w:t>Гарантийные показатели</w:t>
            </w:r>
          </w:p>
        </w:tc>
        <w:tc>
          <w:tcPr>
            <w:tcW w:w="2091" w:type="dxa"/>
            <w:shd w:val="clear" w:color="auto" w:fill="auto"/>
            <w:vAlign w:val="center"/>
          </w:tcPr>
          <w:p w:rsidR="007819DE" w:rsidRDefault="007819DE" w:rsidP="00174B1A">
            <w:pPr>
              <w:jc w:val="center"/>
            </w:pPr>
          </w:p>
        </w:tc>
      </w:tr>
      <w:tr w:rsidR="007819DE" w:rsidTr="00174B1A">
        <w:tc>
          <w:tcPr>
            <w:tcW w:w="959" w:type="dxa"/>
            <w:vMerge/>
            <w:shd w:val="clear" w:color="auto" w:fill="auto"/>
          </w:tcPr>
          <w:p w:rsidR="007819DE" w:rsidRDefault="007819DE" w:rsidP="00174B1A">
            <w:pPr>
              <w:jc w:val="center"/>
            </w:pPr>
          </w:p>
        </w:tc>
        <w:tc>
          <w:tcPr>
            <w:tcW w:w="7087" w:type="dxa"/>
            <w:shd w:val="clear" w:color="auto" w:fill="auto"/>
          </w:tcPr>
          <w:p w:rsidR="007819DE" w:rsidRPr="00572E25" w:rsidRDefault="007819DE" w:rsidP="007819DE">
            <w:pPr>
              <w:numPr>
                <w:ilvl w:val="0"/>
                <w:numId w:val="43"/>
              </w:numPr>
              <w:suppressAutoHyphens w:val="0"/>
              <w:jc w:val="both"/>
            </w:pPr>
            <w:r w:rsidRPr="00643A72">
              <w:t>концентрация паров углеводородов в воздухе на выходе из адсорберов</w:t>
            </w:r>
            <w:r>
              <w:t xml:space="preserve"> </w:t>
            </w:r>
          </w:p>
        </w:tc>
        <w:tc>
          <w:tcPr>
            <w:tcW w:w="2091" w:type="dxa"/>
            <w:shd w:val="clear" w:color="auto" w:fill="auto"/>
            <w:vAlign w:val="center"/>
          </w:tcPr>
          <w:p w:rsidR="007819DE" w:rsidRPr="00AD0596" w:rsidRDefault="007819DE" w:rsidP="00174B1A">
            <w:pPr>
              <w:jc w:val="center"/>
            </w:pPr>
            <w:r>
              <w:t>до</w:t>
            </w:r>
            <w:r w:rsidRPr="000954B6">
              <w:t xml:space="preserve"> 35 г/нм</w:t>
            </w:r>
            <w:r w:rsidRPr="00932A74">
              <w:rPr>
                <w:vertAlign w:val="superscript"/>
              </w:rPr>
              <w:t>3</w:t>
            </w:r>
          </w:p>
        </w:tc>
      </w:tr>
      <w:tr w:rsidR="007819DE" w:rsidTr="00174B1A">
        <w:tc>
          <w:tcPr>
            <w:tcW w:w="959" w:type="dxa"/>
            <w:vMerge/>
            <w:shd w:val="clear" w:color="auto" w:fill="auto"/>
          </w:tcPr>
          <w:p w:rsidR="007819DE" w:rsidRDefault="007819DE" w:rsidP="00174B1A">
            <w:pPr>
              <w:jc w:val="center"/>
            </w:pPr>
          </w:p>
        </w:tc>
        <w:tc>
          <w:tcPr>
            <w:tcW w:w="7087" w:type="dxa"/>
            <w:shd w:val="clear" w:color="auto" w:fill="auto"/>
          </w:tcPr>
          <w:p w:rsidR="007819DE" w:rsidRPr="00572E25" w:rsidRDefault="007819DE" w:rsidP="007819DE">
            <w:pPr>
              <w:numPr>
                <w:ilvl w:val="0"/>
                <w:numId w:val="43"/>
              </w:numPr>
              <w:suppressAutoHyphens w:val="0"/>
              <w:jc w:val="both"/>
            </w:pPr>
            <w:r w:rsidRPr="00643A72">
              <w:t>срок службы</w:t>
            </w:r>
            <w:r>
              <w:t xml:space="preserve">. </w:t>
            </w:r>
          </w:p>
        </w:tc>
        <w:tc>
          <w:tcPr>
            <w:tcW w:w="2091" w:type="dxa"/>
            <w:shd w:val="clear" w:color="auto" w:fill="auto"/>
          </w:tcPr>
          <w:p w:rsidR="007819DE" w:rsidRPr="00EB54FD" w:rsidRDefault="007819DE" w:rsidP="00174B1A">
            <w:pPr>
              <w:jc w:val="center"/>
            </w:pPr>
            <w:r>
              <w:t>не менее 5 лет</w:t>
            </w:r>
          </w:p>
        </w:tc>
      </w:tr>
      <w:tr w:rsidR="007819DE" w:rsidTr="00174B1A">
        <w:tc>
          <w:tcPr>
            <w:tcW w:w="10137" w:type="dxa"/>
            <w:gridSpan w:val="3"/>
            <w:shd w:val="clear" w:color="auto" w:fill="auto"/>
            <w:vAlign w:val="center"/>
          </w:tcPr>
          <w:p w:rsidR="007819DE" w:rsidRPr="009D4DBF" w:rsidRDefault="007819DE" w:rsidP="00174B1A">
            <w:pPr>
              <w:jc w:val="both"/>
              <w:rPr>
                <w:b/>
                <w:i/>
              </w:rPr>
            </w:pPr>
            <w:r w:rsidRPr="009D4DBF">
              <w:rPr>
                <w:b/>
                <w:i/>
              </w:rPr>
              <w:t>Гарантии выполнения требований раздела 6 настоящего Технического задания:</w:t>
            </w:r>
          </w:p>
        </w:tc>
      </w:tr>
      <w:tr w:rsidR="007819DE" w:rsidTr="00174B1A">
        <w:tc>
          <w:tcPr>
            <w:tcW w:w="10137" w:type="dxa"/>
            <w:gridSpan w:val="3"/>
            <w:shd w:val="clear" w:color="auto" w:fill="auto"/>
            <w:vAlign w:val="center"/>
          </w:tcPr>
          <w:p w:rsidR="007819DE" w:rsidRDefault="007819DE" w:rsidP="00174B1A">
            <w:pPr>
              <w:jc w:val="both"/>
            </w:pPr>
            <w:r w:rsidRPr="004119C7">
              <w:t>В случае недостижения гарантийного показателя в обязательном порядке предусматриваются штрафные санкции либо в денежном эквиваленте от стоимости активированно</w:t>
            </w:r>
            <w:r>
              <w:t>го</w:t>
            </w:r>
            <w:r w:rsidRPr="004119C7">
              <w:t xml:space="preserve"> </w:t>
            </w:r>
            <w:r>
              <w:t>угля</w:t>
            </w:r>
            <w:r w:rsidRPr="004119C7">
              <w:t>, либо в виде бесплатной поставки активированно</w:t>
            </w:r>
            <w:r>
              <w:t>го</w:t>
            </w:r>
            <w:r w:rsidRPr="004119C7">
              <w:t xml:space="preserve"> </w:t>
            </w:r>
            <w:r>
              <w:t>угля</w:t>
            </w:r>
            <w:r w:rsidRPr="004119C7">
              <w:t xml:space="preserve"> на условиях </w:t>
            </w:r>
            <w:r w:rsidRPr="004119C7">
              <w:rPr>
                <w:lang w:val="en-US"/>
              </w:rPr>
              <w:t>DDP</w:t>
            </w:r>
            <w:r w:rsidRPr="004119C7">
              <w:t xml:space="preserve"> (ОАО «Славнефть-ЯНОС) в соответствии с линейной формулой фактического срока работы по сравнению с гарантированным сроком от 0% до </w:t>
            </w:r>
            <w:r w:rsidRPr="00EF6766">
              <w:t>10</w:t>
            </w:r>
            <w:r w:rsidRPr="004119C7">
              <w:t xml:space="preserve">0% стоимости </w:t>
            </w:r>
            <w:r>
              <w:t>угля</w:t>
            </w:r>
            <w:r w:rsidRPr="004119C7">
              <w:t>.</w:t>
            </w:r>
            <w:r>
              <w:t xml:space="preserve"> Также Поставщику могут быть предъявлены </w:t>
            </w:r>
            <w:r w:rsidRPr="005B762A">
              <w:t xml:space="preserve">штрафные санкции в размере понесенных </w:t>
            </w:r>
            <w:r>
              <w:t xml:space="preserve">Покупателем </w:t>
            </w:r>
            <w:r w:rsidRPr="005B762A">
              <w:t>потерь в</w:t>
            </w:r>
            <w:r>
              <w:t xml:space="preserve"> </w:t>
            </w:r>
            <w:r w:rsidRPr="005B762A">
              <w:t>с</w:t>
            </w:r>
            <w:r>
              <w:t>вязи с</w:t>
            </w:r>
            <w:r w:rsidRPr="005B762A">
              <w:t xml:space="preserve"> просто</w:t>
            </w:r>
            <w:r>
              <w:t>ем</w:t>
            </w:r>
            <w:r w:rsidRPr="005B762A">
              <w:t xml:space="preserve"> установки</w:t>
            </w:r>
          </w:p>
        </w:tc>
      </w:tr>
    </w:tbl>
    <w:p w:rsidR="00E07F37" w:rsidRDefault="00E07F37" w:rsidP="00E07F37">
      <w:pPr>
        <w:pStyle w:val="a7"/>
        <w:rPr>
          <w:bCs/>
        </w:rPr>
      </w:pPr>
    </w:p>
    <w:p w:rsidR="00E10AEB" w:rsidRDefault="0098576C" w:rsidP="00E10AEB">
      <w:pPr>
        <w:pStyle w:val="aff9"/>
        <w:ind w:firstLine="0"/>
        <w:jc w:val="left"/>
        <w:rPr>
          <w:b w:val="0"/>
          <w:sz w:val="24"/>
        </w:rPr>
      </w:pPr>
      <w:r w:rsidRPr="0098576C">
        <w:rPr>
          <w:rFonts w:eastAsiaTheme="minorHAnsi"/>
          <w:b w:val="0"/>
          <w:bCs/>
          <w:noProof/>
          <w:sz w:val="24"/>
          <w:szCs w:val="22"/>
        </w:rPr>
        <w:drawing>
          <wp:inline distT="0" distB="0" distL="0" distR="0">
            <wp:extent cx="5552440" cy="3328035"/>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2440" cy="3328035"/>
                    </a:xfrm>
                    <a:prstGeom prst="rect">
                      <a:avLst/>
                    </a:prstGeom>
                    <a:noFill/>
                    <a:ln>
                      <a:noFill/>
                    </a:ln>
                  </pic:spPr>
                </pic:pic>
              </a:graphicData>
            </a:graphic>
          </wp:inline>
        </w:drawing>
      </w:r>
    </w:p>
    <w:p w:rsidR="0054179A" w:rsidRPr="00386555" w:rsidRDefault="0098576C" w:rsidP="0054179A">
      <w:pPr>
        <w:pStyle w:val="a7"/>
        <w:spacing w:after="0"/>
        <w:ind w:left="720"/>
        <w:jc w:val="both"/>
        <w:rPr>
          <w:sz w:val="22"/>
        </w:rPr>
      </w:pPr>
      <w:r w:rsidRPr="0098576C">
        <w:rPr>
          <w:noProof/>
          <w:sz w:val="22"/>
          <w:lang w:eastAsia="ru-RU"/>
        </w:rPr>
        <w:lastRenderedPageBreak/>
        <w:drawing>
          <wp:inline distT="0" distB="0" distL="0" distR="0">
            <wp:extent cx="5436870" cy="6096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36870" cy="6096000"/>
                    </a:xfrm>
                    <a:prstGeom prst="rect">
                      <a:avLst/>
                    </a:prstGeom>
                    <a:noFill/>
                    <a:ln>
                      <a:noFill/>
                    </a:ln>
                  </pic:spPr>
                </pic:pic>
              </a:graphicData>
            </a:graphic>
          </wp:inline>
        </w:drawing>
      </w:r>
    </w:p>
    <w:p w:rsidR="004578BD" w:rsidRDefault="004578BD" w:rsidP="0054179A">
      <w:pPr>
        <w:pStyle w:val="a7"/>
        <w:spacing w:after="0"/>
        <w:jc w:val="both"/>
        <w:rPr>
          <w:sz w:val="22"/>
        </w:rPr>
        <w:sectPr w:rsidR="004578BD" w:rsidSect="00F53168">
          <w:pgSz w:w="11906" w:h="16838" w:code="9"/>
          <w:pgMar w:top="540" w:right="567" w:bottom="426" w:left="1134" w:header="720" w:footer="265" w:gutter="0"/>
          <w:cols w:space="708"/>
          <w:docGrid w:linePitch="360"/>
        </w:sectPr>
      </w:pPr>
    </w:p>
    <w:p w:rsidR="004578BD" w:rsidRDefault="0098576C" w:rsidP="0054179A">
      <w:pPr>
        <w:pStyle w:val="a7"/>
        <w:spacing w:after="0"/>
        <w:jc w:val="both"/>
        <w:rPr>
          <w:sz w:val="22"/>
        </w:rPr>
        <w:sectPr w:rsidR="004578BD" w:rsidSect="00F53168">
          <w:pgSz w:w="11906" w:h="16838" w:code="9"/>
          <w:pgMar w:top="540" w:right="567" w:bottom="426" w:left="1134" w:header="720" w:footer="265" w:gutter="0"/>
          <w:cols w:space="708"/>
          <w:docGrid w:linePitch="360"/>
        </w:sectPr>
      </w:pPr>
      <w:r w:rsidRPr="0098576C">
        <w:rPr>
          <w:noProof/>
          <w:lang w:eastAsia="ru-RU"/>
        </w:rPr>
        <w:lastRenderedPageBreak/>
        <w:drawing>
          <wp:inline distT="0" distB="0" distL="0" distR="0">
            <wp:extent cx="6236043" cy="9159789"/>
            <wp:effectExtent l="0" t="0" r="0" b="381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9">
                      <a:extLst>
                        <a:ext uri="{28A0092B-C50C-407E-A947-70E740481C1C}">
                          <a14:useLocalDpi xmlns:a14="http://schemas.microsoft.com/office/drawing/2010/main" val="0"/>
                        </a:ext>
                      </a:extLst>
                    </a:blip>
                    <a:srcRect t="3052" r="13202"/>
                    <a:stretch/>
                  </pic:blipFill>
                  <pic:spPr bwMode="auto">
                    <a:xfrm>
                      <a:off x="0" y="0"/>
                      <a:ext cx="6241020" cy="9167099"/>
                    </a:xfrm>
                    <a:prstGeom prst="rect">
                      <a:avLst/>
                    </a:prstGeom>
                    <a:noFill/>
                    <a:ln>
                      <a:noFill/>
                    </a:ln>
                    <a:extLst>
                      <a:ext uri="{53640926-AAD7-44D8-BBD7-CCE9431645EC}">
                        <a14:shadowObscured xmlns:a14="http://schemas.microsoft.com/office/drawing/2010/main"/>
                      </a:ext>
                    </a:extLst>
                  </pic:spPr>
                </pic:pic>
              </a:graphicData>
            </a:graphic>
          </wp:inline>
        </w:drawing>
      </w:r>
    </w:p>
    <w:p w:rsidR="00157BC6" w:rsidRPr="00C60276" w:rsidRDefault="00157BC6" w:rsidP="00157BC6">
      <w:pPr>
        <w:jc w:val="right"/>
        <w:rPr>
          <w:b/>
          <w:sz w:val="26"/>
          <w:szCs w:val="26"/>
        </w:rPr>
      </w:pPr>
      <w:r w:rsidRPr="00C60276">
        <w:rPr>
          <w:b/>
          <w:sz w:val="26"/>
          <w:szCs w:val="26"/>
        </w:rPr>
        <w:lastRenderedPageBreak/>
        <w:t>Форма 4 «Извещение о согласии сделать оферту»</w:t>
      </w:r>
    </w:p>
    <w:p w:rsidR="00157BC6" w:rsidRPr="00C60276" w:rsidRDefault="00157BC6" w:rsidP="00157BC6">
      <w:pPr>
        <w:rPr>
          <w:b/>
          <w:sz w:val="26"/>
          <w:szCs w:val="26"/>
        </w:rPr>
      </w:pPr>
    </w:p>
    <w:p w:rsidR="00157BC6" w:rsidRPr="00C60276" w:rsidRDefault="00157BC6" w:rsidP="00157BC6">
      <w:pPr>
        <w:jc w:val="center"/>
        <w:rPr>
          <w:b/>
          <w:sz w:val="26"/>
          <w:szCs w:val="26"/>
        </w:rPr>
      </w:pPr>
      <w:r w:rsidRPr="00C60276">
        <w:rPr>
          <w:b/>
          <w:sz w:val="26"/>
          <w:szCs w:val="26"/>
        </w:rPr>
        <w:t>ИЗВЕЩЕНИЕ О СОГЛАСИИ СДЕЛАТЬ ОФЕРТУ</w:t>
      </w:r>
    </w:p>
    <w:p w:rsidR="00157BC6" w:rsidRPr="0033703C" w:rsidRDefault="00157BC6" w:rsidP="00157BC6">
      <w:pPr>
        <w:jc w:val="center"/>
        <w:rPr>
          <w:b/>
        </w:rPr>
      </w:pPr>
    </w:p>
    <w:p w:rsidR="00157BC6" w:rsidRDefault="00157BC6" w:rsidP="00157BC6">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57BC6" w:rsidRPr="00C60276" w:rsidRDefault="00157BC6" w:rsidP="00157BC6">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57BC6" w:rsidRPr="00C60276" w:rsidRDefault="00157BC6" w:rsidP="00157BC6">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57BC6" w:rsidRPr="00C60276" w:rsidRDefault="00157BC6" w:rsidP="00157BC6">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57BC6" w:rsidRDefault="00157BC6" w:rsidP="00157BC6">
      <w:pPr>
        <w:rPr>
          <w:sz w:val="22"/>
        </w:rPr>
      </w:pPr>
    </w:p>
    <w:p w:rsidR="00157BC6" w:rsidRDefault="00157BC6" w:rsidP="00157BC6">
      <w:pPr>
        <w:rPr>
          <w:sz w:val="22"/>
        </w:rPr>
      </w:pPr>
    </w:p>
    <w:p w:rsidR="00157BC6" w:rsidRPr="00C60276" w:rsidRDefault="00157BC6" w:rsidP="00157BC6">
      <w:pPr>
        <w:rPr>
          <w:sz w:val="22"/>
        </w:rPr>
      </w:pPr>
      <w:r w:rsidRPr="00C60276">
        <w:rPr>
          <w:sz w:val="22"/>
        </w:rPr>
        <w:t>3. Сообщаем о себе следующее:</w:t>
      </w:r>
    </w:p>
    <w:p w:rsidR="00157BC6" w:rsidRPr="00C60276" w:rsidRDefault="00157BC6" w:rsidP="00157BC6">
      <w:pPr>
        <w:ind w:left="540"/>
        <w:rPr>
          <w:sz w:val="22"/>
        </w:rPr>
      </w:pPr>
      <w:r w:rsidRPr="00C60276">
        <w:rPr>
          <w:sz w:val="22"/>
        </w:rPr>
        <w:t>Наименование организации:  _____________________________________________________</w:t>
      </w:r>
    </w:p>
    <w:p w:rsidR="00157BC6" w:rsidRPr="00C60276" w:rsidRDefault="00157BC6" w:rsidP="00157BC6">
      <w:pPr>
        <w:ind w:left="540"/>
        <w:rPr>
          <w:sz w:val="22"/>
        </w:rPr>
      </w:pPr>
      <w:r w:rsidRPr="00C60276">
        <w:rPr>
          <w:sz w:val="22"/>
        </w:rPr>
        <w:t>Местонахождение: ______________________________________________________________</w:t>
      </w:r>
    </w:p>
    <w:p w:rsidR="00157BC6" w:rsidRPr="00C60276" w:rsidRDefault="00157BC6" w:rsidP="00157BC6">
      <w:pPr>
        <w:ind w:left="540"/>
        <w:rPr>
          <w:sz w:val="22"/>
        </w:rPr>
      </w:pPr>
      <w:r w:rsidRPr="00C60276">
        <w:rPr>
          <w:sz w:val="22"/>
        </w:rPr>
        <w:t>Почтовый адрес: ________________________________________________________________</w:t>
      </w:r>
    </w:p>
    <w:p w:rsidR="00157BC6" w:rsidRPr="00C60276" w:rsidRDefault="00157BC6" w:rsidP="00157BC6">
      <w:pPr>
        <w:ind w:left="540"/>
        <w:rPr>
          <w:sz w:val="22"/>
        </w:rPr>
      </w:pPr>
      <w:r w:rsidRPr="00C60276">
        <w:rPr>
          <w:sz w:val="22"/>
        </w:rPr>
        <w:t>Телефон, телефакс, электронный адрес: ____________________________________________</w:t>
      </w:r>
    </w:p>
    <w:p w:rsidR="00157BC6" w:rsidRPr="00C60276" w:rsidRDefault="00157BC6" w:rsidP="00157BC6">
      <w:pPr>
        <w:ind w:left="540"/>
        <w:rPr>
          <w:sz w:val="22"/>
        </w:rPr>
      </w:pPr>
      <w:r w:rsidRPr="00C60276">
        <w:rPr>
          <w:sz w:val="22"/>
        </w:rPr>
        <w:t>Организационно - правовая форма: ________________________________________________</w:t>
      </w:r>
    </w:p>
    <w:p w:rsidR="00157BC6" w:rsidRPr="00C60276" w:rsidRDefault="00157BC6" w:rsidP="00157BC6">
      <w:pPr>
        <w:ind w:left="540"/>
        <w:rPr>
          <w:sz w:val="22"/>
        </w:rPr>
      </w:pPr>
      <w:r w:rsidRPr="00C60276">
        <w:rPr>
          <w:sz w:val="22"/>
        </w:rPr>
        <w:t>Дата, место и орган регистрации организации: _______________________________________</w:t>
      </w:r>
    </w:p>
    <w:p w:rsidR="00157BC6" w:rsidRPr="00C60276" w:rsidRDefault="00157BC6" w:rsidP="00157BC6">
      <w:pPr>
        <w:ind w:left="540"/>
        <w:rPr>
          <w:sz w:val="22"/>
        </w:rPr>
      </w:pPr>
      <w:r w:rsidRPr="00C60276">
        <w:rPr>
          <w:sz w:val="22"/>
        </w:rPr>
        <w:t>Банковские реквизиты: ___________________________________________________________</w:t>
      </w:r>
    </w:p>
    <w:p w:rsidR="00157BC6" w:rsidRPr="00C60276" w:rsidRDefault="00157BC6" w:rsidP="00157BC6">
      <w:pPr>
        <w:ind w:left="540"/>
        <w:rPr>
          <w:sz w:val="22"/>
        </w:rPr>
      </w:pPr>
      <w:r w:rsidRPr="00C60276">
        <w:rPr>
          <w:sz w:val="22"/>
        </w:rPr>
        <w:t xml:space="preserve">БИК__________________________________, </w:t>
      </w:r>
    </w:p>
    <w:p w:rsidR="00157BC6" w:rsidRPr="00C60276" w:rsidRDefault="00157BC6" w:rsidP="00157BC6">
      <w:pPr>
        <w:ind w:left="540"/>
        <w:rPr>
          <w:sz w:val="22"/>
        </w:rPr>
      </w:pPr>
      <w:r w:rsidRPr="00C60276">
        <w:rPr>
          <w:sz w:val="22"/>
        </w:rPr>
        <w:t>ИНН __________________________________</w:t>
      </w:r>
    </w:p>
    <w:p w:rsidR="00157BC6" w:rsidRPr="00C60276" w:rsidRDefault="00157BC6" w:rsidP="00157BC6">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57BC6" w:rsidRPr="00C60276" w:rsidRDefault="00157BC6" w:rsidP="00157BC6">
      <w:pPr>
        <w:pBdr>
          <w:bottom w:val="single" w:sz="4" w:space="1" w:color="auto"/>
        </w:pBdr>
        <w:ind w:left="540"/>
        <w:rPr>
          <w:sz w:val="22"/>
        </w:rPr>
      </w:pPr>
    </w:p>
    <w:p w:rsidR="00157BC6" w:rsidRPr="00C60276" w:rsidRDefault="00157BC6" w:rsidP="00157BC6">
      <w:pPr>
        <w:ind w:left="539"/>
        <w:rPr>
          <w:sz w:val="22"/>
        </w:rPr>
      </w:pPr>
      <w:r w:rsidRPr="00C60276">
        <w:rPr>
          <w:sz w:val="22"/>
        </w:rPr>
        <w:t>_______________________________________________________________________________</w:t>
      </w:r>
    </w:p>
    <w:p w:rsidR="00157BC6" w:rsidRPr="00C60276" w:rsidRDefault="00157BC6" w:rsidP="00157BC6">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157BC6" w:rsidRPr="00C60276" w:rsidRDefault="00157BC6" w:rsidP="00157BC6">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57BC6" w:rsidRPr="00C60276" w:rsidRDefault="00157BC6" w:rsidP="00157BC6">
      <w:pPr>
        <w:pBdr>
          <w:bottom w:val="single" w:sz="4" w:space="1" w:color="auto"/>
        </w:pBdr>
        <w:jc w:val="both"/>
        <w:rPr>
          <w:sz w:val="22"/>
        </w:rPr>
      </w:pPr>
    </w:p>
    <w:p w:rsidR="00157BC6" w:rsidRPr="00C60276" w:rsidRDefault="00157BC6" w:rsidP="00157BC6">
      <w:pPr>
        <w:jc w:val="both"/>
        <w:rPr>
          <w:sz w:val="22"/>
        </w:rPr>
      </w:pPr>
      <w:r w:rsidRPr="00C60276">
        <w:rPr>
          <w:sz w:val="22"/>
        </w:rPr>
        <w:t>__________________________________________________________________________________</w:t>
      </w:r>
    </w:p>
    <w:p w:rsidR="00157BC6" w:rsidRPr="00C60276" w:rsidRDefault="00157BC6" w:rsidP="00157BC6">
      <w:pPr>
        <w:rPr>
          <w:sz w:val="22"/>
        </w:rPr>
      </w:pPr>
    </w:p>
    <w:p w:rsidR="00157BC6" w:rsidRPr="00C60276" w:rsidRDefault="00157BC6" w:rsidP="00157BC6">
      <w:pPr>
        <w:rPr>
          <w:sz w:val="22"/>
        </w:rPr>
      </w:pPr>
      <w:r w:rsidRPr="00C60276">
        <w:rPr>
          <w:sz w:val="22"/>
        </w:rPr>
        <w:t>Руководитель</w:t>
      </w:r>
      <w:r w:rsidRPr="00C60276">
        <w:rPr>
          <w:sz w:val="22"/>
        </w:rPr>
        <w:tab/>
        <w:t>________________</w:t>
      </w:r>
      <w:r w:rsidRPr="00C60276">
        <w:rPr>
          <w:sz w:val="22"/>
        </w:rPr>
        <w:tab/>
        <w:t>/Фамилия И.О./</w:t>
      </w:r>
    </w:p>
    <w:p w:rsidR="00157BC6" w:rsidRPr="00C60276" w:rsidRDefault="00157BC6" w:rsidP="00157BC6">
      <w:pPr>
        <w:rPr>
          <w:sz w:val="22"/>
        </w:rPr>
      </w:pPr>
      <w:r w:rsidRPr="00C60276">
        <w:rPr>
          <w:sz w:val="22"/>
        </w:rPr>
        <w:tab/>
      </w:r>
      <w:r w:rsidRPr="00C60276">
        <w:rPr>
          <w:sz w:val="22"/>
        </w:rPr>
        <w:tab/>
      </w:r>
      <w:r w:rsidRPr="00C60276">
        <w:rPr>
          <w:sz w:val="22"/>
        </w:rPr>
        <w:tab/>
        <w:t xml:space="preserve">          (подпись)</w:t>
      </w:r>
    </w:p>
    <w:p w:rsidR="00157BC6" w:rsidRPr="00C60276" w:rsidRDefault="00157BC6" w:rsidP="00157BC6">
      <w:pPr>
        <w:rPr>
          <w:sz w:val="22"/>
        </w:rPr>
      </w:pPr>
      <w:r w:rsidRPr="00C60276">
        <w:rPr>
          <w:sz w:val="22"/>
        </w:rPr>
        <w:t>Главный бухгалтер</w:t>
      </w:r>
      <w:r w:rsidRPr="00C60276">
        <w:rPr>
          <w:sz w:val="22"/>
        </w:rPr>
        <w:tab/>
        <w:t>________________</w:t>
      </w:r>
      <w:r w:rsidRPr="00C60276">
        <w:rPr>
          <w:sz w:val="22"/>
        </w:rPr>
        <w:tab/>
        <w:t>/Фамилия И.О./</w:t>
      </w:r>
    </w:p>
    <w:p w:rsidR="00157BC6" w:rsidRPr="00C60276" w:rsidRDefault="00157BC6" w:rsidP="00157BC6">
      <w:pPr>
        <w:ind w:left="1416" w:firstLine="708"/>
        <w:rPr>
          <w:sz w:val="22"/>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«Славнефть-ЯНОС»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165EE6" w:rsidRDefault="00165EE6" w:rsidP="00157BC6">
      <w:pPr>
        <w:suppressAutoHyphens w:val="0"/>
        <w:spacing w:after="200"/>
        <w:jc w:val="center"/>
        <w:rPr>
          <w:rFonts w:eastAsia="Calibri"/>
          <w:b/>
        </w:rPr>
      </w:pPr>
    </w:p>
    <w:p w:rsidR="00657744" w:rsidRPr="00FE5202" w:rsidRDefault="00657744" w:rsidP="00157BC6">
      <w:pPr>
        <w:suppressAutoHyphens w:val="0"/>
        <w:spacing w:after="200"/>
        <w:jc w:val="center"/>
        <w:rPr>
          <w:rFonts w:eastAsia="Calibri"/>
          <w:b/>
        </w:rPr>
      </w:pPr>
      <w:r w:rsidRPr="00FE5202">
        <w:rPr>
          <w:rFonts w:eastAsia="Calibri"/>
          <w:b/>
        </w:rPr>
        <w:t>ПРЕДЛОЖЕНИЕ О ЗАКЛЮЧЕНИИ ДОГОВОРА</w:t>
      </w:r>
    </w:p>
    <w:p w:rsidR="00657744" w:rsidRPr="00FE5202" w:rsidRDefault="00657744" w:rsidP="00157BC6">
      <w:pPr>
        <w:suppressAutoHyphens w:val="0"/>
        <w:spacing w:after="200"/>
        <w:jc w:val="center"/>
        <w:rPr>
          <w:rFonts w:eastAsia="Calibri"/>
        </w:rPr>
      </w:pPr>
      <w:r w:rsidRPr="00FE5202">
        <w:rPr>
          <w:rFonts w:eastAsia="Calibri"/>
        </w:rPr>
        <w:t>(безотзывная оферта)</w:t>
      </w:r>
    </w:p>
    <w:p w:rsidR="00657744" w:rsidRPr="00FE5202" w:rsidRDefault="00657744" w:rsidP="00157BC6">
      <w:pPr>
        <w:suppressAutoHyphens w:val="0"/>
        <w:spacing w:after="200"/>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157BC6">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165EE6" w:rsidRDefault="00165EE6" w:rsidP="00165EE6">
      <w:pPr>
        <w:suppressAutoHyphens w:val="0"/>
        <w:jc w:val="both"/>
        <w:rPr>
          <w:rFonts w:eastAsia="Calibri"/>
        </w:rPr>
      </w:pPr>
    </w:p>
    <w:p w:rsidR="00657744" w:rsidRDefault="00657744" w:rsidP="00165EE6">
      <w:pPr>
        <w:numPr>
          <w:ilvl w:val="0"/>
          <w:numId w:val="33"/>
        </w:numPr>
        <w:suppressAutoHyphens w:val="0"/>
        <w:jc w:val="both"/>
        <w:rPr>
          <w:rFonts w:eastAsia="Calibri"/>
        </w:rPr>
      </w:pPr>
      <w:r w:rsidRPr="00165EE6">
        <w:rPr>
          <w:rFonts w:eastAsia="Calibri"/>
        </w:rPr>
        <w:t xml:space="preserve">Настоящее предложение действует до </w:t>
      </w:r>
      <w:r w:rsidR="006F550A">
        <w:rPr>
          <w:rFonts w:eastAsia="Calibri"/>
        </w:rPr>
        <w:t>2</w:t>
      </w:r>
      <w:r w:rsidR="0098576C">
        <w:rPr>
          <w:rFonts w:eastAsia="Calibri"/>
        </w:rPr>
        <w:t>4</w:t>
      </w:r>
      <w:r w:rsidRPr="00165EE6">
        <w:rPr>
          <w:rFonts w:eastAsia="Calibri"/>
        </w:rPr>
        <w:t>.</w:t>
      </w:r>
      <w:r w:rsidR="00D57C86" w:rsidRPr="00165EE6">
        <w:rPr>
          <w:rFonts w:eastAsia="Calibri"/>
        </w:rPr>
        <w:t>1</w:t>
      </w:r>
      <w:r w:rsidR="0098576C">
        <w:rPr>
          <w:rFonts w:eastAsia="Calibri"/>
        </w:rPr>
        <w:t>1</w:t>
      </w:r>
      <w:r w:rsidRPr="00165EE6">
        <w:rPr>
          <w:rFonts w:eastAsia="Calibri"/>
        </w:rPr>
        <w:t>.201</w:t>
      </w:r>
      <w:r w:rsidR="00165EE6" w:rsidRPr="00165EE6">
        <w:rPr>
          <w:rFonts w:eastAsia="Calibri"/>
        </w:rPr>
        <w:t>7</w:t>
      </w:r>
      <w:r w:rsidRPr="00165EE6">
        <w:rPr>
          <w:rFonts w:eastAsia="Calibri"/>
        </w:rPr>
        <w:t xml:space="preserve"> г.</w:t>
      </w:r>
    </w:p>
    <w:p w:rsidR="00165EE6" w:rsidRPr="00165EE6" w:rsidRDefault="00165EE6" w:rsidP="00165EE6">
      <w:pPr>
        <w:suppressAutoHyphens w:val="0"/>
        <w:ind w:left="360"/>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936469" w:rsidRPr="00FE5202" w:rsidRDefault="00936469" w:rsidP="00936469">
      <w:pPr>
        <w:suppressAutoHyphens w:val="0"/>
        <w:ind w:left="357"/>
        <w:jc w:val="both"/>
        <w:rPr>
          <w:rFonts w:eastAsia="Calibri"/>
        </w:rPr>
      </w:pP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DC2814"/>
    <w:p w:rsidR="00165EE6" w:rsidRDefault="00165EE6"/>
    <w:p w:rsidR="00165EE6" w:rsidRDefault="00165EE6"/>
    <w:p w:rsidR="00165EE6" w:rsidRPr="00165EE6" w:rsidRDefault="00165EE6">
      <w:pPr>
        <w:rPr>
          <w:color w:val="FF0000"/>
        </w:rPr>
        <w:sectPr w:rsidR="00165EE6" w:rsidRPr="00165EE6" w:rsidSect="0059093C">
          <w:headerReference w:type="default" r:id="rId20"/>
          <w:footerReference w:type="default" r:id="rId21"/>
          <w:pgSz w:w="11905" w:h="16837"/>
          <w:pgMar w:top="1134" w:right="851" w:bottom="1134" w:left="1134" w:header="708" w:footer="708" w:gutter="0"/>
          <w:cols w:space="708"/>
          <w:docGrid w:linePitch="360"/>
        </w:sectPr>
      </w:pPr>
    </w:p>
    <w:p w:rsidR="00DC2814" w:rsidRDefault="007E4B45" w:rsidP="0098576C">
      <w:pPr>
        <w:suppressAutoHyphens w:val="0"/>
        <w:spacing w:after="200" w:line="276" w:lineRule="auto"/>
        <w:rPr>
          <w:rFonts w:eastAsia="Times New Roman"/>
          <w:b/>
          <w:lang w:eastAsia="ru-RU"/>
        </w:rPr>
      </w:pPr>
      <w:r w:rsidRPr="007E4B45">
        <w:lastRenderedPageBreak/>
        <w:t xml:space="preserve"> </w:t>
      </w:r>
      <w:r w:rsidR="000D0102" w:rsidRPr="000D0102">
        <w:t xml:space="preserve"> </w:t>
      </w:r>
      <w:r w:rsidR="006F550A" w:rsidRPr="006F550A">
        <w:rPr>
          <w:noProof/>
          <w:lang w:eastAsia="ru-RU"/>
        </w:rPr>
        <w:t xml:space="preserve"> </w:t>
      </w:r>
      <w:r w:rsidR="007833DD" w:rsidRPr="007833DD">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4CD" w:rsidRDefault="002314CD" w:rsidP="0055099D">
      <w:r>
        <w:separator/>
      </w:r>
    </w:p>
  </w:endnote>
  <w:endnote w:type="continuationSeparator" w:id="0">
    <w:p w:rsidR="002314CD" w:rsidRDefault="002314C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4B" w:rsidRPr="00623999" w:rsidRDefault="00DE764B" w:rsidP="0062399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4B" w:rsidRDefault="00DE764B">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4B" w:rsidRPr="00623999" w:rsidRDefault="00DE764B"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4CD" w:rsidRDefault="002314CD" w:rsidP="0055099D">
      <w:r>
        <w:separator/>
      </w:r>
    </w:p>
  </w:footnote>
  <w:footnote w:type="continuationSeparator" w:id="0">
    <w:p w:rsidR="002314CD" w:rsidRDefault="002314CD"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4B" w:rsidRPr="005D7C2A" w:rsidRDefault="00DE764B"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4B" w:rsidRPr="005D7C2A" w:rsidRDefault="00DE764B"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3CD4B10"/>
    <w:multiLevelType w:val="hybridMultilevel"/>
    <w:tmpl w:val="63E23A28"/>
    <w:lvl w:ilvl="0" w:tplc="8834AA94">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7FA0174"/>
    <w:multiLevelType w:val="hybridMultilevel"/>
    <w:tmpl w:val="B582BAAE"/>
    <w:lvl w:ilvl="0" w:tplc="B0FC3A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23B47C75"/>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5">
    <w:nsid w:val="35F70970"/>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642B0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D2F06AC"/>
    <w:multiLevelType w:val="multilevel"/>
    <w:tmpl w:val="DA2C8C50"/>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3F9B6610"/>
    <w:multiLevelType w:val="hybridMultilevel"/>
    <w:tmpl w:val="09D6C78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4">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4D945AD9"/>
    <w:multiLevelType w:val="hybridMultilevel"/>
    <w:tmpl w:val="15C20018"/>
    <w:lvl w:ilvl="0" w:tplc="26B8A7B0">
      <w:start w:val="4"/>
      <w:numFmt w:val="decimal"/>
      <w:lvlText w:val="%1."/>
      <w:lvlJc w:val="left"/>
      <w:pPr>
        <w:tabs>
          <w:tab w:val="num" w:pos="510"/>
        </w:tabs>
        <w:ind w:left="510" w:hanging="510"/>
      </w:pPr>
      <w:rPr>
        <w:rFonts w:cs="Times New Roman" w:hint="default"/>
        <w:b/>
        <w:i w:val="0"/>
      </w:rPr>
    </w:lvl>
    <w:lvl w:ilvl="1" w:tplc="E2DA7B6E">
      <w:start w:val="4"/>
      <w:numFmt w:val="decimal"/>
      <w:lvlText w:val="%2."/>
      <w:lvlJc w:val="left"/>
      <w:pPr>
        <w:tabs>
          <w:tab w:val="num" w:pos="720"/>
        </w:tabs>
        <w:ind w:left="720" w:hanging="363"/>
      </w:pPr>
      <w:rPr>
        <w:rFonts w:cs="Times New Roman" w:hint="default"/>
        <w:b w:val="0"/>
        <w:i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89A4D66"/>
    <w:multiLevelType w:val="multilevel"/>
    <w:tmpl w:val="DA2C8C50"/>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28255F9"/>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9">
    <w:nsid w:val="6ACB494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1">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38"/>
  </w:num>
  <w:num w:numId="4">
    <w:abstractNumId w:val="23"/>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42"/>
  </w:num>
  <w:num w:numId="7">
    <w:abstractNumId w:val="16"/>
  </w:num>
  <w:num w:numId="8">
    <w:abstractNumId w:val="11"/>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8"/>
  </w:num>
  <w:num w:numId="13">
    <w:abstractNumId w:val="29"/>
  </w:num>
  <w:num w:numId="14">
    <w:abstractNumId w:val="37"/>
  </w:num>
  <w:num w:numId="15">
    <w:abstractNumId w:val="40"/>
  </w:num>
  <w:num w:numId="16">
    <w:abstractNumId w:val="12"/>
  </w:num>
  <w:num w:numId="17">
    <w:abstractNumId w:val="21"/>
  </w:num>
  <w:num w:numId="18">
    <w:abstractNumId w:val="4"/>
  </w:num>
  <w:num w:numId="19">
    <w:abstractNumId w:val="2"/>
  </w:num>
  <w:num w:numId="20">
    <w:abstractNumId w:val="28"/>
  </w:num>
  <w:num w:numId="21">
    <w:abstractNumId w:val="20"/>
  </w:num>
  <w:num w:numId="22">
    <w:abstractNumId w:val="34"/>
  </w:num>
  <w:num w:numId="23">
    <w:abstractNumId w:val="35"/>
  </w:num>
  <w:num w:numId="24">
    <w:abstractNumId w:val="41"/>
  </w:num>
  <w:num w:numId="25">
    <w:abstractNumId w:val="22"/>
  </w:num>
  <w:num w:numId="26">
    <w:abstractNumId w:val="43"/>
  </w:num>
  <w:num w:numId="27">
    <w:abstractNumId w:val="9"/>
  </w:num>
  <w:num w:numId="28">
    <w:abstractNumId w:val="5"/>
  </w:num>
  <w:num w:numId="29">
    <w:abstractNumId w:val="3"/>
  </w:num>
  <w:num w:numId="30">
    <w:abstractNumId w:val="27"/>
  </w:num>
  <w:num w:numId="31">
    <w:abstractNumId w:val="30"/>
  </w:num>
  <w:num w:numId="32">
    <w:abstractNumId w:val="14"/>
  </w:num>
  <w:num w:numId="33">
    <w:abstractNumId w:val="33"/>
  </w:num>
  <w:num w:numId="34">
    <w:abstractNumId w:val="15"/>
  </w:num>
  <w:num w:numId="35">
    <w:abstractNumId w:val="17"/>
  </w:num>
  <w:num w:numId="36">
    <w:abstractNumId w:val="36"/>
  </w:num>
  <w:num w:numId="37">
    <w:abstractNumId w:val="39"/>
  </w:num>
  <w:num w:numId="38">
    <w:abstractNumId w:val="10"/>
  </w:num>
  <w:num w:numId="39">
    <w:abstractNumId w:val="18"/>
  </w:num>
  <w:num w:numId="40">
    <w:abstractNumId w:val="25"/>
  </w:num>
  <w:num w:numId="41">
    <w:abstractNumId w:val="19"/>
  </w:num>
  <w:num w:numId="42">
    <w:abstractNumId w:val="32"/>
  </w:num>
  <w:num w:numId="43">
    <w:abstractNumId w:val="7"/>
  </w:num>
  <w:num w:numId="4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71153"/>
    <w:rsid w:val="00083733"/>
    <w:rsid w:val="00092782"/>
    <w:rsid w:val="000A29BA"/>
    <w:rsid w:val="000B222B"/>
    <w:rsid w:val="000B56C5"/>
    <w:rsid w:val="000D0102"/>
    <w:rsid w:val="000E3BF5"/>
    <w:rsid w:val="000E5005"/>
    <w:rsid w:val="000F2041"/>
    <w:rsid w:val="000F2A38"/>
    <w:rsid w:val="00115C40"/>
    <w:rsid w:val="001307E9"/>
    <w:rsid w:val="001476BB"/>
    <w:rsid w:val="0015159F"/>
    <w:rsid w:val="00157BC6"/>
    <w:rsid w:val="00165EE6"/>
    <w:rsid w:val="001721B1"/>
    <w:rsid w:val="0017696F"/>
    <w:rsid w:val="0017760E"/>
    <w:rsid w:val="00190204"/>
    <w:rsid w:val="00191E58"/>
    <w:rsid w:val="001B1952"/>
    <w:rsid w:val="001B65A8"/>
    <w:rsid w:val="001D1B14"/>
    <w:rsid w:val="001D597A"/>
    <w:rsid w:val="001E0BF1"/>
    <w:rsid w:val="001E162C"/>
    <w:rsid w:val="001E3C94"/>
    <w:rsid w:val="001E5CA0"/>
    <w:rsid w:val="001E79F6"/>
    <w:rsid w:val="002008F1"/>
    <w:rsid w:val="00206DBD"/>
    <w:rsid w:val="00206F9E"/>
    <w:rsid w:val="0021745A"/>
    <w:rsid w:val="002314CD"/>
    <w:rsid w:val="0023494E"/>
    <w:rsid w:val="00235168"/>
    <w:rsid w:val="00245204"/>
    <w:rsid w:val="002454B6"/>
    <w:rsid w:val="002619D6"/>
    <w:rsid w:val="002768FE"/>
    <w:rsid w:val="00285570"/>
    <w:rsid w:val="00294CFA"/>
    <w:rsid w:val="002C3594"/>
    <w:rsid w:val="002D1A76"/>
    <w:rsid w:val="002E026D"/>
    <w:rsid w:val="002E174C"/>
    <w:rsid w:val="002E779A"/>
    <w:rsid w:val="002F035E"/>
    <w:rsid w:val="00331E52"/>
    <w:rsid w:val="00341260"/>
    <w:rsid w:val="00351C32"/>
    <w:rsid w:val="0035619E"/>
    <w:rsid w:val="003641D4"/>
    <w:rsid w:val="003A0EA0"/>
    <w:rsid w:val="003A758F"/>
    <w:rsid w:val="003C7866"/>
    <w:rsid w:val="003D4A14"/>
    <w:rsid w:val="003E1B2B"/>
    <w:rsid w:val="003F075D"/>
    <w:rsid w:val="003F1610"/>
    <w:rsid w:val="003F1E84"/>
    <w:rsid w:val="004024A1"/>
    <w:rsid w:val="00402FB1"/>
    <w:rsid w:val="0042468B"/>
    <w:rsid w:val="004251A5"/>
    <w:rsid w:val="00425FFB"/>
    <w:rsid w:val="0043396E"/>
    <w:rsid w:val="00450355"/>
    <w:rsid w:val="004521DB"/>
    <w:rsid w:val="00453755"/>
    <w:rsid w:val="004547DA"/>
    <w:rsid w:val="00454FA7"/>
    <w:rsid w:val="004578BD"/>
    <w:rsid w:val="0046579F"/>
    <w:rsid w:val="00477034"/>
    <w:rsid w:val="00480CA8"/>
    <w:rsid w:val="0048173E"/>
    <w:rsid w:val="00491780"/>
    <w:rsid w:val="004932F1"/>
    <w:rsid w:val="004B1A71"/>
    <w:rsid w:val="004B34FD"/>
    <w:rsid w:val="004B459B"/>
    <w:rsid w:val="004E5DE9"/>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09A4"/>
    <w:rsid w:val="005D5B6F"/>
    <w:rsid w:val="005E2815"/>
    <w:rsid w:val="005E409C"/>
    <w:rsid w:val="005E5E99"/>
    <w:rsid w:val="005F297F"/>
    <w:rsid w:val="005F30FF"/>
    <w:rsid w:val="005F4EF7"/>
    <w:rsid w:val="00610281"/>
    <w:rsid w:val="00623999"/>
    <w:rsid w:val="00634ACC"/>
    <w:rsid w:val="0063768E"/>
    <w:rsid w:val="00642469"/>
    <w:rsid w:val="00652254"/>
    <w:rsid w:val="00657436"/>
    <w:rsid w:val="00657744"/>
    <w:rsid w:val="006627A1"/>
    <w:rsid w:val="006840A4"/>
    <w:rsid w:val="006928EB"/>
    <w:rsid w:val="00695BE5"/>
    <w:rsid w:val="006A266D"/>
    <w:rsid w:val="006C064F"/>
    <w:rsid w:val="006C074A"/>
    <w:rsid w:val="006C07EF"/>
    <w:rsid w:val="006D4AD4"/>
    <w:rsid w:val="006D4FF0"/>
    <w:rsid w:val="006F0F50"/>
    <w:rsid w:val="006F3B55"/>
    <w:rsid w:val="006F550A"/>
    <w:rsid w:val="006F5E1E"/>
    <w:rsid w:val="00701178"/>
    <w:rsid w:val="007304D8"/>
    <w:rsid w:val="00731421"/>
    <w:rsid w:val="00746759"/>
    <w:rsid w:val="00757541"/>
    <w:rsid w:val="007819DE"/>
    <w:rsid w:val="007833DD"/>
    <w:rsid w:val="00783567"/>
    <w:rsid w:val="00786A04"/>
    <w:rsid w:val="0078794E"/>
    <w:rsid w:val="00792A37"/>
    <w:rsid w:val="00793EBC"/>
    <w:rsid w:val="007A2D5A"/>
    <w:rsid w:val="007A37C5"/>
    <w:rsid w:val="007C1EAC"/>
    <w:rsid w:val="007C55B5"/>
    <w:rsid w:val="007C6852"/>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AED"/>
    <w:rsid w:val="008B3716"/>
    <w:rsid w:val="008B671A"/>
    <w:rsid w:val="008D4BA4"/>
    <w:rsid w:val="008D6B1B"/>
    <w:rsid w:val="00901E67"/>
    <w:rsid w:val="00936469"/>
    <w:rsid w:val="00937214"/>
    <w:rsid w:val="00942140"/>
    <w:rsid w:val="00947022"/>
    <w:rsid w:val="009556E8"/>
    <w:rsid w:val="0098389A"/>
    <w:rsid w:val="00984352"/>
    <w:rsid w:val="0098576C"/>
    <w:rsid w:val="009B2BE2"/>
    <w:rsid w:val="009B7769"/>
    <w:rsid w:val="009C306F"/>
    <w:rsid w:val="009C36C8"/>
    <w:rsid w:val="009D5A8A"/>
    <w:rsid w:val="009D6B08"/>
    <w:rsid w:val="009E3EBF"/>
    <w:rsid w:val="00A01E3F"/>
    <w:rsid w:val="00A06473"/>
    <w:rsid w:val="00A12009"/>
    <w:rsid w:val="00A13A60"/>
    <w:rsid w:val="00A16EEE"/>
    <w:rsid w:val="00A2113E"/>
    <w:rsid w:val="00A30BEF"/>
    <w:rsid w:val="00A36034"/>
    <w:rsid w:val="00A60253"/>
    <w:rsid w:val="00A702CF"/>
    <w:rsid w:val="00A7443F"/>
    <w:rsid w:val="00A946B7"/>
    <w:rsid w:val="00AE3F37"/>
    <w:rsid w:val="00AF46BB"/>
    <w:rsid w:val="00B00B6E"/>
    <w:rsid w:val="00B03FB5"/>
    <w:rsid w:val="00B047FC"/>
    <w:rsid w:val="00B0738A"/>
    <w:rsid w:val="00B1493B"/>
    <w:rsid w:val="00B37D5A"/>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40F07"/>
    <w:rsid w:val="00C41C82"/>
    <w:rsid w:val="00C604EB"/>
    <w:rsid w:val="00C62601"/>
    <w:rsid w:val="00C62BE3"/>
    <w:rsid w:val="00C63395"/>
    <w:rsid w:val="00C86203"/>
    <w:rsid w:val="00C96331"/>
    <w:rsid w:val="00CD60FF"/>
    <w:rsid w:val="00CD790F"/>
    <w:rsid w:val="00CE06FB"/>
    <w:rsid w:val="00CE3531"/>
    <w:rsid w:val="00CE4BF5"/>
    <w:rsid w:val="00CE4D2C"/>
    <w:rsid w:val="00CF0C2A"/>
    <w:rsid w:val="00D1647D"/>
    <w:rsid w:val="00D229EB"/>
    <w:rsid w:val="00D33048"/>
    <w:rsid w:val="00D42358"/>
    <w:rsid w:val="00D514ED"/>
    <w:rsid w:val="00D52A29"/>
    <w:rsid w:val="00D57C86"/>
    <w:rsid w:val="00D642F8"/>
    <w:rsid w:val="00D709EF"/>
    <w:rsid w:val="00D7204B"/>
    <w:rsid w:val="00D77A00"/>
    <w:rsid w:val="00D8562E"/>
    <w:rsid w:val="00D87F6D"/>
    <w:rsid w:val="00D917DD"/>
    <w:rsid w:val="00D93FBE"/>
    <w:rsid w:val="00DA19D5"/>
    <w:rsid w:val="00DC2814"/>
    <w:rsid w:val="00DD23C8"/>
    <w:rsid w:val="00DE16BA"/>
    <w:rsid w:val="00DE764B"/>
    <w:rsid w:val="00DF09A1"/>
    <w:rsid w:val="00E023AA"/>
    <w:rsid w:val="00E061AF"/>
    <w:rsid w:val="00E07F37"/>
    <w:rsid w:val="00E10AEB"/>
    <w:rsid w:val="00E135D1"/>
    <w:rsid w:val="00E2077A"/>
    <w:rsid w:val="00E27B42"/>
    <w:rsid w:val="00E303C1"/>
    <w:rsid w:val="00E3163E"/>
    <w:rsid w:val="00E411AD"/>
    <w:rsid w:val="00E46A09"/>
    <w:rsid w:val="00E510E7"/>
    <w:rsid w:val="00E667FC"/>
    <w:rsid w:val="00E81942"/>
    <w:rsid w:val="00E94758"/>
    <w:rsid w:val="00EA2D3D"/>
    <w:rsid w:val="00EB51B1"/>
    <w:rsid w:val="00EE125B"/>
    <w:rsid w:val="00EF150E"/>
    <w:rsid w:val="00F038E8"/>
    <w:rsid w:val="00F10D00"/>
    <w:rsid w:val="00F2550C"/>
    <w:rsid w:val="00F30506"/>
    <w:rsid w:val="00F37B9D"/>
    <w:rsid w:val="00F53168"/>
    <w:rsid w:val="00F5396A"/>
    <w:rsid w:val="00F64E8C"/>
    <w:rsid w:val="00F6680C"/>
    <w:rsid w:val="00F6725A"/>
    <w:rsid w:val="00F76FA7"/>
    <w:rsid w:val="00FB07C7"/>
    <w:rsid w:val="00FB68D3"/>
    <w:rsid w:val="00FB6E4D"/>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634ACC"/>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yperlink" Target="http://refinery.yaroslavl.ru/"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63011-41B0-4FC9-904B-A3DDBD16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5467</Words>
  <Characters>31168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10</cp:revision>
  <cp:lastPrinted>2017-08-10T07:39:00Z</cp:lastPrinted>
  <dcterms:created xsi:type="dcterms:W3CDTF">2017-08-02T06:11:00Z</dcterms:created>
  <dcterms:modified xsi:type="dcterms:W3CDTF">2017-09-04T06:23:00Z</dcterms:modified>
</cp:coreProperties>
</file>